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Times New Roman" w:cs="Times New Roman" w:eastAsia="Georgia" w:hAnsi="Times New Roman"/>
          <w:b w:val="0"/>
          <w:bCs w:val="1"/>
          <w:i w:val="0"/>
          <w:iCs w:val="0"/>
          <w:sz w:val="22"/>
          <w:szCs w:val="22"/>
          <w:rtl w:val="0"/>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Unhedged sites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Abstracts within a program may share advisers, so observations are not fully independent, and within-discipline spread remains larger than the gaps between means. With a small, zero-inflated sample and no multiple-comparison correction, the result is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map frequency, function, and cross-disciplinary density. The contrasts below are exploratory descriptions of what was observed here, not stable discipline-level characteristics. As reported in Part II, the Kruskal-Wallis test on rates reached p = .025 and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 xml:space="preserve">Table 6</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More consequential is the Null/NS concentration: Agriculture accounts for 14 of 21 Null/NS abstracts, against 2 of 20 in Veterinary Medicine. Those Agriculture Null/NS texts average about 1.5 hedges. Acs2 shows the pattern in concrete form—the writer reports that statistical significance was not observed, then hedges that the treatment could still offer potential benefits. That is hedging used to soften or rescue a non-significant result, the exact overclaiming risk the introduction identifies. One abstract cannot establish a rule, but the concentration of Null/NS outcomes in Agriculture and the explicit rescue framing in Acs2 form a clearer, more thematically central observation than the disciplinary density ranking alone. With small cells, both the VM reading and the Null/NS share remain suggestive.</w:t>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As noted in Scope, the study cannot separate genuine field norms from adviser-enforced conventions; the findings describe the ratified abstracts, not individual cognition.</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disciplinary differentiation, mainly Veterinary Medicine’s lower density. Agriculture’s edge over Biology is modest and outlier-sensitive. More distinctive is the concentration of Null/NS outcomes in Agriculture (14 of 21) and the rescue-hedging pattern illustrated by Acs2, which links directly to the introduction’s concern with overclaiming. The data cannot separate field norms, adviser practice, and outcome type. Statistical evidence is exploratory (Kruskal-Wallis on rates p = .025) and the sample is small. The study provides a local baseline: VM abstracts in this corpus hedge less, and Agriculture shows a suggestive Null/NS–hedging link;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Null/NS concentration in Agriculture, the rescue-hedging pattern, and the lower Veterinary Medicine density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both"/>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