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Kruskal-Wallis Test, </w:t>
      </w:r>
      <w:r>
        <w:rPr>
          <w:rFonts w:ascii="Georgia" w:hAnsi="Georgia" w:cs="Georgia" w:eastAsia="Georgia"/>
          <w:i w:val="0"/>
          <w:iCs w:val="0"/>
          <w:sz w:val="22"/>
          <w:szCs w:val="22"/>
          <w:rtl w:val="0"/>
          <w:b w:val="0"/>
          <w:bCs w:val="0"/>
        </w:rPr>
        <w:t>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b w:val="0"/>
          <w:bCs w:val="0"/>
        </w:rPr>
        <w:t>conceptually, the Mann-Whitney U test (also called the Wilcoxon rank-sum test) is a non-parametric test that compares the distributions of a continuous or ordinal variable between two independent groups. Operationally, this study used it as an exploratory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b/>
          <w:bCs/>
          <w:sz w:val="22"/>
        </w:rPr>
        <w:t xml:space="preserve">e. Data Analysis. </w:t>
      </w:r>
      <w:r>
        <w:rPr>
          <w:rFonts w:ascii="Georgia" w:hAnsi="Georgia" w:cs="Georgia" w:eastAsia="Georgia"/>
          <w:i w:val="0"/>
          <w:iCs w:val="0"/>
          <w:sz w:val="22"/>
          <w:szCs w:val="22"/>
          <w:rtl w:val="0"/>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b/>
          <w:sz w:val="24"/>
        </w:rPr>
        <w:t>Table 1</w:t>
      </w:r>
    </w:p>
    <w:p>
      <w:pPr>
        <w:keepNext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spacing w:before="720" w:after="0" w:line="480" w:lineRule="auto"/>
        <w:jc w:val="center"/>
      </w:pPr>
      <w:r>
        <w:rPr>
          <w:rFonts w:ascii="Georgia" w:hAnsi="Georgia"/>
          <w:b/>
          <w:sz w:val="24"/>
        </w:rPr>
        <w:t>Table 2</w:t>
      </w:r>
    </w:p>
    <w:p>
      <w:pPr>
        <w:keepNext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Layer 1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sz w:val="22"/>
          <w:szCs w:val="22"/>
        </w:rPr>
        <w:t>Table 3 lists every retained hedge form in the corpus with its Layer 1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b/>
          <w:sz w:val="24"/>
        </w:rPr>
        <w:t>Table 4</w:t>
      </w:r>
    </w:p>
    <w:p>
      <w:pPr>
        <w:keepNext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Layer 3 is included as a descriptive inventory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spacing w:before="720" w:after="0" w:line="480" w:lineRule="auto"/>
        <w:jc w:val="center"/>
      </w:pPr>
      <w:r>
        <w:rPr>
          <w:rFonts w:ascii="Georgia" w:hAnsi="Georgia"/>
          <w:b/>
          <w:sz w:val="24"/>
        </w:rPr>
        <w:t>Table 5</w:t>
      </w:r>
    </w:p>
    <w:p>
      <w:pPr>
        <w:keepNext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tblHeader/>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b/>
          <w:sz w:val="24"/>
        </w:rPr>
        <w:t>Table 6</w:t>
      </w:r>
    </w:p>
    <w:p>
      <w:pPr>
        <w:keepNext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Exploratory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Statistical evidence is exploratory (Kruskal-Wallis on rates p = .025, and pairwise Mann-Whitney tests with Bonferroni correction leave Biology–Veterinary Medicine as the surviving contrast)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pPr>
        <w:spacing w:before="0" w:after="0" w:line="480" w:lineRule="auto"/>
        <w:ind w:left="720" w:hanging="720"/>
        <w:jc w:val="both"/>
        <w:rPr/>
      </w:pPr>
      <w:r>
        <w:rPr>
          <w:rFonts w:ascii="Georgia" w:hAnsi="Georgia"/>
          <w:sz w:val="22"/>
          <w:szCs w:val="22"/>
        </w:rPr>
        <w:t xml:space="preserve">Crompton, P. (1997). Hedging in academic writing: Some theoretical problems. English for Specific Purposes, 16(4), 271-287. https://www.academia.edu/50160307/Hedging_in_academic_writing_Some_theoretical_problems</w:t>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Khunasathitchai, K., Sittironnarit, S., Sinturat, T., &amp; Kumdee, S. (2025). Move analysis and hedge use in the research paper abstracts of Thai EFL English-majored undergraduates. rEFLections, 32(2), 951–973. https://doi.org/10.61508/refl.v32i2.282512</w:t>
      </w:r>
      <w:r>
        <w:rPr>
          <w:rFonts w:ascii="Georgia" w:cs="Georgia" w:eastAsia="Georgia" w:hAnsi="Georgia"/>
          <w:b w:val="0"/>
          <w:bCs w:val="0"/>
          <w:i w:val="1"/>
          <w:iCs w:val="1"/>
          <w:sz w:val="22"/>
          <w:szCs w:val="22"/>
          <w:rtl w:val="0"/>
        </w:rPr>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Layer 3.</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60" w:after="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80" w:after="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spacing w:before="60" w:after="0" w:line="288"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80" w:after="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0" w:after="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120" w:after="6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tblHeader w:val="0"/>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tblHeader w:val="0"/>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tblHeader w:val="0"/>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tblHeader w:val="0"/>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0" w:after="20" w:line="360" w:lineRule="auto"/>
        <w:ind w:firstLine="720"/>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Layer 3: claim clauses with no hedge. Reverse test: a hedge could be inserted without changing the facts. Procedural statements never markable. Example: “Results showed X” → could be “Results suggested X.”</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A finding stated as settled fact.</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A broader inference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A cause and effect link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sz w:val="20"/>
                <w:szCs w:val="20"/>
                <w:rFonts w:ascii="Georgia" w:hAnsi="Georgia"/>
              </w:rPr>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hAnsi="Georgia" w:cs="Georgia" w:eastAsia="Georgia"/>
          <w:b w:val="0"/>
          <w:bCs w:val="0"/>
          <w:i w:val="0"/>
          <w:iCs w:val="0"/>
          <w:color w:val="000000"/>
          <w:rtl w:val="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hAnsi="Georgia" w:cs="Georgia" w:eastAsia="Georgia"/>
          <w:b w:val="0"/>
          <w:bCs w:val="0"/>
          <w:i w:val="0"/>
          <w:iCs w:val="0"/>
          <w:color w:val="000000"/>
          <w:rtl w:val="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The study would (FP-Gen)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(DO),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[R]. This study is essential for getting insights into eco-brick manufacture because the workability of SUPs and UCOs as raw materials is proven. The research findings do not apply to buildings [G]. Therefore (DO), further research will (FP-Gen) aid in underlining the importance of optimizing the ingredient ratios to acquire desirable quality eco-bricks for sustainable construction applications.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(DO),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00b0f0" w:val="clear"/>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b w:val="0"/>
          <w:color w:val="000000"/>
          <w:sz w:val="22"/>
          <w:strike w:val="0"/>
        </w:rPr>
        <w:t xml:space="preserve">Methicillin-resistant Staphylococcus aureus (MRSA) is a common and </w:t>
      </w:r>
      <w:r>
        <w:rPr>
          <w:rFonts w:ascii="Georgia" w:hAnsi="Georgia" w:cs="Georgia" w:eastAsia="Georgia"/>
          <w:b w:val="0"/>
          <w:color w:val="000000"/>
          <w:sz w:val="22"/>
          <w:highlight w:val="yellow"/>
          <w:strike w:val="0"/>
        </w:rPr>
        <w:t>potentially</w:t>
      </w:r>
      <w:r>
        <w:rPr>
          <w:rFonts w:ascii="Georgia" w:hAnsi="Georgia" w:cs="Georgia" w:eastAsia="Georgia"/>
          <w:color w:val="ED7D31"/>
          <w:sz w:val="22"/>
          <w:strike w:val="0"/>
        </w:rPr>
        <w:t xml:space="preserve"> (EC)</w:t>
      </w:r>
      <w:r>
        <w:rPr>
          <w:rFonts w:ascii="Georgia" w:hAnsi="Georgia" w:cs="Georgia" w:eastAsia="Georgia"/>
          <w:b w:val="0"/>
          <w:color w:val="000000"/>
          <w:sz w:val="22"/>
          <w:strike w:val="0"/>
        </w:rPr>
        <w:t xml:space="preserve"> severe pathogen that has developed resistance to several types of antibiotics. MRSA bacteria </w:t>
      </w:r>
      <w:r>
        <w:rPr>
          <w:rFonts w:ascii="Georgia" w:hAnsi="Georgia" w:cs="Georgia" w:eastAsia="Georgia"/>
          <w:color w:val="000000"/>
          <w:sz w:val="22"/>
          <w:strike/>
        </w:rPr>
        <w:t>can</w:t>
      </w:r>
      <w:r>
        <w:rPr>
          <w:rFonts w:ascii="Georgia" w:hAnsi="Georgia" w:cs="Georgia" w:eastAsia="Georgia"/>
          <w:color w:val="808080"/>
          <w:sz w:val="22"/>
          <w:strike w:val="0"/>
        </w:rPr>
        <w:t xml:space="preserve"> (FP-Cap)</w:t>
      </w:r>
      <w:r>
        <w:rPr>
          <w:rFonts w:ascii="Georgia" w:hAnsi="Georgia" w:cs="Georgia" w:eastAsia="Georgia"/>
          <w:b w:val="0"/>
          <w:color w:val="000000"/>
          <w:sz w:val="22"/>
          <w:strike w:val="0"/>
        </w:rPr>
        <w:t xml:space="preserve"> survive long on surfaces and objects, including second-hand clothing (SHC). The increasing popularity of SHC or “ukay-ukay” in the Philippines, coupled with </w:t>
      </w:r>
      <w:r>
        <w:rPr>
          <w:rFonts w:ascii="Georgia" w:hAnsi="Georgia" w:cs="Georgia" w:eastAsia="Georgia"/>
          <w:b w:val="0"/>
          <w:color w:val="FFFFFF"/>
          <w:sz w:val="22"/>
          <w:highlight w:val="red"/>
          <w:strike w:val="0"/>
        </w:rPr>
        <w:t>potential</w:t>
      </w:r>
      <w:r>
        <w:rPr>
          <w:rFonts w:ascii="Georgia" w:hAnsi="Georgia" w:cs="Georgia" w:eastAsia="Georgia"/>
          <w:color w:val="ED7D31"/>
          <w:sz w:val="22"/>
          <w:strike w:val="0"/>
        </w:rPr>
        <w:t xml:space="preserve"> (EC)</w:t>
      </w:r>
      <w:r>
        <w:rPr>
          <w:rFonts w:ascii="Georgia" w:hAnsi="Georgia" w:cs="Georgia" w:eastAsia="Georgia"/>
          <w:b w:val="0"/>
          <w:color w:val="000000"/>
          <w:sz w:val="22"/>
          <w:strike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b w:val="0"/>
          <w:color w:val="FFFFFF"/>
          <w:sz w:val="22"/>
          <w:highlight w:val="red"/>
          <w:strike w:val="0"/>
        </w:rPr>
        <w:t>potential</w:t>
      </w:r>
      <w:r>
        <w:rPr>
          <w:rFonts w:ascii="Georgia" w:hAnsi="Georgia" w:cs="Georgia" w:eastAsia="Georgia"/>
          <w:color w:val="ED7D31"/>
          <w:sz w:val="22"/>
          <w:strike w:val="0"/>
        </w:rPr>
        <w:t xml:space="preserve"> (EC)</w:t>
      </w:r>
      <w:r>
        <w:rPr>
          <w:rFonts w:ascii="Georgia" w:hAnsi="Georgia" w:cs="Georgia" w:eastAsia="Georgia"/>
          <w:b w:val="0"/>
          <w:color w:val="000000"/>
          <w:sz w:val="22"/>
          <w:strike w:val="0"/>
        </w:rPr>
        <w:t xml:space="preserve"> public health risks associated with the handling and purchasing of second-hand clothing. This study, therefore, underscores the need for proper precautions to mitigate the spread of </w:t>
      </w:r>
      <w:r>
        <w:rPr>
          <w:rFonts w:ascii="Georgia" w:hAnsi="Georgia" w:cs="Georgia" w:eastAsia="Georgia"/>
          <w:b w:val="0"/>
          <w:color w:val="000000"/>
          <w:sz w:val="22"/>
          <w:highlight w:val="yellow"/>
          <w:strike w:val="0"/>
        </w:rPr>
        <w:t>potentially</w:t>
      </w:r>
      <w:r>
        <w:rPr>
          <w:rFonts w:ascii="Georgia" w:hAnsi="Georgia" w:cs="Georgia" w:eastAsia="Georgia"/>
          <w:color w:val="ED7D31"/>
          <w:sz w:val="22"/>
          <w:strike w:val="0"/>
        </w:rPr>
        <w:t xml:space="preserve"> (EC)</w:t>
      </w:r>
      <w:r>
        <w:rPr>
          <w:rFonts w:ascii="Georgia" w:hAnsi="Georgia" w:cs="Georgia" w:eastAsia="Georgia"/>
          <w:b w:val="0"/>
          <w:color w:val="000000"/>
          <w:sz w:val="22"/>
          <w:strike w:val="0"/>
        </w:rPr>
        <w:t xml:space="preserve"> harmful bacteria, including MRSA, on second-hand clothing. It highlights the importance of raising awareness among both vendors and consumers about the </w:t>
      </w:r>
      <w:r>
        <w:rPr>
          <w:rFonts w:ascii="Georgia" w:hAnsi="Georgia" w:cs="Georgia" w:eastAsia="Georgia"/>
          <w:b w:val="0"/>
          <w:color w:val="FFFFFF"/>
          <w:sz w:val="22"/>
          <w:highlight w:val="red"/>
          <w:strike w:val="0"/>
        </w:rPr>
        <w:t>potential</w:t>
      </w:r>
      <w:r>
        <w:rPr>
          <w:rFonts w:ascii="Georgia" w:hAnsi="Georgia" w:cs="Georgia" w:eastAsia="Georgia"/>
          <w:color w:val="ED7D31"/>
          <w:sz w:val="22"/>
          <w:strike w:val="0"/>
        </w:rPr>
        <w:t xml:space="preserve"> (EC)</w:t>
      </w:r>
      <w:r>
        <w:rPr>
          <w:rFonts w:ascii="Georgia" w:hAnsi="Georgia" w:cs="Georgia" w:eastAsia="Georgia"/>
          <w:b w:val="0"/>
          <w:color w:val="000000"/>
          <w:sz w:val="22"/>
          <w:strike w:val="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b w:val="0"/>
          <w:color w:val="000000"/>
          <w:sz w:val="22"/>
          <w:strike w:val="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b w:val="0"/>
          <w:color w:val="FFFFFF"/>
          <w:sz w:val="22"/>
          <w:highlight w:val="red"/>
          <w:strike w:val="0"/>
        </w:rPr>
        <w:t>potential</w:t>
      </w:r>
      <w:r>
        <w:rPr>
          <w:rFonts w:ascii="Georgia" w:hAnsi="Georgia" w:cs="Georgia" w:eastAsia="Georgia"/>
          <w:color w:val="ED7D31"/>
          <w:sz w:val="22"/>
          <w:strike w:val="0"/>
        </w:rPr>
        <w:t xml:space="preserve"> (EC)</w:t>
      </w:r>
      <w:r>
        <w:rPr>
          <w:rFonts w:ascii="Georgia" w:hAnsi="Georgia" w:cs="Georgia" w:eastAsia="Georgia"/>
          <w:b w:val="0"/>
          <w:color w:val="000000"/>
          <w:sz w:val="22"/>
          <w:strike w:val="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cs="Georgia" w:eastAsia="Georgia"/>
          <w:sz w:val="22"/>
          <w:shd w:val="clear" w:fill="BFBFBF"/>
          <w:strike w:val="0"/>
        </w:rPr>
        <w:t>A total of 181 microplastics were detected across all samples, wherein the concentration of microplastics was higher in Treatment 1 (74.03%).</w:t>
      </w:r>
      <w:r>
        <w:rPr>
          <w:rFonts w:ascii="Georgia" w:hAnsi="Georgia" w:cs="Georgia" w:eastAsia="Georgia"/>
          <w:color w:val="000000"/>
          <w:sz w:val="22"/>
          <w:strike w:val="0"/>
        </w:rPr>
        <w:t xml:space="preserve"> [R]</w:t>
      </w:r>
      <w:r>
        <w:rPr>
          <w:rFonts w:ascii="Georgia" w:hAnsi="Georgia" w:cs="Georgia" w:eastAsia="Georgia"/>
          <w:b w:val="0"/>
          <w:color w:val="000000"/>
          <w:sz w:val="22"/>
          <w:strike w:val="0"/>
        </w:rPr>
        <w:t xml:space="preserve">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color w:val="000000"/>
          <w:sz w:val="22"/>
          <w:strike/>
        </w:rPr>
        <w:t>recommend</w:t>
      </w:r>
      <w:r>
        <w:rPr>
          <w:rFonts w:ascii="Georgia" w:hAnsi="Georgia" w:cs="Georgia" w:eastAsia="Georgia"/>
          <w:color w:val="808080"/>
          <w:sz w:val="22"/>
          <w:strike w:val="0"/>
        </w:rPr>
        <w:t xml:space="preserve"> (FP-Rec)</w:t>
      </w:r>
      <w:r>
        <w:rPr>
          <w:rFonts w:ascii="Georgia" w:hAnsi="Georgia" w:cs="Georgia" w:eastAsia="Georgia"/>
          <w:b w:val="0"/>
          <w:color w:val="000000"/>
          <w:sz w:val="22"/>
          <w:strike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b w:val="0"/>
          <w:color w:val="000000"/>
          <w:sz w:val="22"/>
          <w:strike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w:t>
      </w:r>
      <w:r>
        <w:rPr>
          <w:rFonts w:ascii="Georgia" w:hAnsi="Georgia" w:cs="Georgia" w:eastAsia="Georgia"/>
          <w:sz w:val="22"/>
          <w:shd w:val="clear" w:fill="BFBFBF"/>
          <w:strike w:val="0"/>
        </w:rPr>
        <w:t>One way ANOVA was used and the differences between the groups were statistically significant.</w:t>
      </w:r>
      <w:r>
        <w:rPr>
          <w:rFonts w:ascii="Georgia" w:hAnsi="Georgia" w:cs="Georgia" w:eastAsia="Georgia"/>
          <w:color w:val="000000"/>
          <w:sz w:val="22"/>
          <w:strike w:val="0"/>
        </w:rPr>
        <w:t xml:space="preserve"> [R]</w:t>
      </w:r>
      <w:r>
        <w:rPr>
          <w:rFonts w:ascii="Georgia" w:hAnsi="Georgia" w:cs="Georgia" w:eastAsia="Georgia"/>
          <w:b w:val="0"/>
          <w:color w:val="000000"/>
          <w:sz w:val="22"/>
          <w:strike w:val="0"/>
        </w:rPr>
        <w:t xml:space="preserve">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b w:val="0"/>
          <w:color w:val="000000"/>
          <w:sz w:val="22"/>
          <w:strike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w:t>
      </w:r>
      <w:r>
        <w:rPr>
          <w:rFonts w:ascii="Georgia" w:hAnsi="Georgia" w:cs="Georgia" w:eastAsia="Georgia"/>
          <w:color w:val="000000"/>
          <w:sz w:val="22"/>
          <w:strike/>
        </w:rPr>
        <w:t>indicated</w:t>
      </w:r>
      <w:r>
        <w:rPr>
          <w:rFonts w:ascii="Georgia" w:hAnsi="Georgia" w:cs="Georgia" w:eastAsia="Georgia"/>
          <w:color w:val="808080"/>
          <w:sz w:val="22"/>
          <w:strike w:val="0"/>
        </w:rPr>
        <w:t xml:space="preserve"> (FP-Gen)</w:t>
      </w:r>
      <w:r>
        <w:rPr>
          <w:rFonts w:ascii="Georgia" w:hAnsi="Georgia" w:cs="Georgia" w:eastAsia="Georgia"/>
          <w:b w:val="0"/>
          <w:color w:val="000000"/>
          <w:sz w:val="22"/>
          <w:strike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b w:val="0"/>
          <w:color w:val="000000"/>
          <w:sz w:val="22"/>
          <w:strike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b w:val="0"/>
          <w:color w:val="FFFFFF"/>
          <w:sz w:val="22"/>
          <w:highlight w:val="red"/>
          <w:strike w:val="0"/>
        </w:rPr>
        <w:t>potential</w:t>
      </w:r>
      <w:r>
        <w:rPr>
          <w:rFonts w:ascii="Georgia" w:hAnsi="Georgia" w:cs="Georgia" w:eastAsia="Georgia"/>
          <w:color w:val="ED7D31"/>
          <w:sz w:val="22"/>
          <w:strike w:val="0"/>
        </w:rPr>
        <w:t xml:space="preserve"> (EC)</w:t>
      </w:r>
      <w:r>
        <w:rPr>
          <w:rFonts w:ascii="Georgia" w:hAnsi="Georgia" w:cs="Georgia" w:eastAsia="Georgia"/>
          <w:b w:val="0"/>
          <w:color w:val="000000"/>
          <w:sz w:val="22"/>
          <w:strike w:val="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b w:val="0"/>
          <w:color w:val="000000"/>
          <w:sz w:val="22"/>
          <w:strike w:val="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b w:val="0"/>
          <w:color w:val="000000"/>
          <w:sz w:val="22"/>
          <w:strike w:val="0"/>
        </w:rPr>
        <w:t xml:space="preserve">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color w:val="000000"/>
          <w:sz w:val="22"/>
          <w:strike/>
        </w:rPr>
        <w:t>indicating</w:t>
      </w:r>
      <w:r>
        <w:rPr>
          <w:rFonts w:ascii="Georgia" w:hAnsi="Georgia" w:cs="Georgia" w:eastAsia="Georgia"/>
          <w:color w:val="808080"/>
          <w:sz w:val="22"/>
          <w:strike w:val="0"/>
        </w:rPr>
        <w:t xml:space="preserve"> (FP-Gen)</w:t>
      </w:r>
      <w:r>
        <w:rPr>
          <w:rFonts w:ascii="Georgia" w:hAnsi="Georgia" w:cs="Georgia" w:eastAsia="Georgia"/>
          <w:b w:val="0"/>
          <w:color w:val="000000"/>
          <w:sz w:val="22"/>
          <w:strike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cs="Georgia" w:eastAsia="Georgia"/>
          <w:b w:val="0"/>
          <w:color w:val="FFFFFF"/>
          <w:sz w:val="22"/>
          <w:highlight w:val="red"/>
          <w:strike w:val="0"/>
        </w:rPr>
        <w:t>potential</w:t>
      </w:r>
      <w:r>
        <w:rPr>
          <w:rFonts w:ascii="Georgia" w:hAnsi="Georgia" w:cs="Georgia" w:eastAsia="Georgia"/>
          <w:color w:val="ED7D31"/>
          <w:sz w:val="22"/>
          <w:strike w:val="0"/>
        </w:rPr>
        <w:t xml:space="preserve"> (EC)</w:t>
      </w:r>
      <w:r>
        <w:rPr>
          <w:rFonts w:ascii="Georgia" w:hAnsi="Georgia" w:cs="Georgia" w:eastAsia="Georgia"/>
          <w:b w:val="0"/>
          <w:color w:val="000000"/>
          <w:sz w:val="22"/>
          <w:strike w:val="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b w:val="0"/>
          <w:color w:val="000000"/>
          <w:sz w:val="22"/>
          <w:strike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color w:val="000000"/>
          <w:sz w:val="22"/>
          <w:strike/>
        </w:rPr>
        <w:t>will</w:t>
      </w:r>
      <w:r>
        <w:rPr>
          <w:rFonts w:ascii="Georgia" w:hAnsi="Georgia" w:cs="Georgia" w:eastAsia="Georgia"/>
          <w:color w:val="808080"/>
          <w:sz w:val="22"/>
          <w:strike w:val="0"/>
        </w:rPr>
        <w:t xml:space="preserve"> (FP-Gen)</w:t>
      </w:r>
      <w:r>
        <w:rPr>
          <w:rFonts w:ascii="Georgia" w:hAnsi="Georgia" w:cs="Georgia" w:eastAsia="Georgia"/>
          <w:b w:val="0"/>
          <w:color w:val="000000"/>
          <w:sz w:val="22"/>
          <w:strike w:val="0"/>
        </w:rPr>
        <w:t xml:space="preserve"> drive animal production systems to find new sources of high-quality and sustainable protein feed raw materials. Fortunately, insect farming </w:t>
      </w:r>
      <w:r>
        <w:rPr>
          <w:rFonts w:ascii="Georgia" w:hAnsi="Georgia" w:cs="Georgia" w:eastAsia="Georgia"/>
          <w:b w:val="0"/>
          <w:color w:val="000000"/>
          <w:sz w:val="22"/>
          <w:strike w:val="0"/>
          <w:shd w:val="clear" w:fill="00B0F0"/>
        </w:rPr>
        <w:t>can</w:t>
      </w:r>
      <w:r>
        <w:rPr>
          <w:rFonts w:ascii="Georgia" w:hAnsi="Georgia" w:cs="Georgia" w:eastAsia="Georgia"/>
          <w:color w:val="ED7D31"/>
          <w:sz w:val="22"/>
          <w:strike w:val="0"/>
        </w:rPr>
        <w:t xml:space="preserve"> (EC)</w:t>
      </w:r>
      <w:r>
        <w:rPr>
          <w:rFonts w:ascii="Georgia" w:hAnsi="Georgia" w:cs="Georgia" w:eastAsia="Georgia"/>
          <w:b w:val="0"/>
          <w:color w:val="000000"/>
          <w:sz w:val="22"/>
          <w:strike w:val="0"/>
        </w:rPr>
        <w:t xml:space="preserve"> be seen as a </w:t>
      </w:r>
      <w:r>
        <w:rPr>
          <w:rFonts w:ascii="Georgia" w:hAnsi="Georgia" w:cs="Georgia" w:eastAsia="Georgia"/>
          <w:b w:val="0"/>
          <w:color w:val="FFFFFF"/>
          <w:sz w:val="22"/>
          <w:highlight w:val="red"/>
          <w:strike w:val="0"/>
        </w:rPr>
        <w:t>potential</w:t>
      </w:r>
      <w:r>
        <w:rPr>
          <w:rFonts w:ascii="Georgia" w:hAnsi="Georgia" w:cs="Georgia" w:eastAsia="Georgia"/>
          <w:color w:val="ED7D31"/>
          <w:sz w:val="22"/>
          <w:strike w:val="0"/>
        </w:rPr>
        <w:t xml:space="preserve"> (EC)</w:t>
      </w:r>
      <w:r>
        <w:rPr>
          <w:rFonts w:ascii="Georgia" w:hAnsi="Georgia" w:cs="Georgia" w:eastAsia="Georgia"/>
          <w:b w:val="0"/>
          <w:color w:val="000000"/>
          <w:sz w:val="22"/>
          <w:strike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b w:val="0"/>
          <w:color w:val="000000"/>
          <w:sz w:val="22"/>
          <w:strike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cs="Georgia" w:eastAsia="Georgia"/>
          <w:sz w:val="22"/>
          <w:shd w:val="clear" w:fill="BFBFBF"/>
          <w:strike w:val="0"/>
        </w:rPr>
        <w:t>The results disclosed that the percentage of mortality and moisture content were statistically significant at 1% (P&lt;0.01) and (P&lt;0.05) level with 48 hours after the post-treatment.</w:t>
      </w:r>
      <w:r>
        <w:rPr>
          <w:rFonts w:ascii="Georgia" w:hAnsi="Georgia" w:cs="Georgia" w:eastAsia="Georgia"/>
          <w:color w:val="000000"/>
          <w:sz w:val="22"/>
          <w:strike w:val="0"/>
        </w:rPr>
        <w:t xml:space="preserve"> [R]</w:t>
      </w:r>
      <w:r>
        <w:rPr>
          <w:rFonts w:ascii="Georgia" w:hAnsi="Georgia" w:cs="Georgia" w:eastAsia="Georgia"/>
          <w:b w:val="0"/>
          <w:color w:val="000000"/>
          <w:sz w:val="22"/>
          <w:strike w:val="0"/>
        </w:rPr>
        <w:t xml:space="preserve"> </w:t>
      </w:r>
      <w:r>
        <w:rPr>
          <w:rFonts w:ascii="Georgia" w:hAnsi="Georgia" w:cs="Georgia" w:eastAsia="Georgia"/>
          <w:sz w:val="22"/>
          <w:shd w:val="clear" w:fill="BFBFBF"/>
          <w:strike w:val="0"/>
        </w:rPr>
        <w:t>However, mortality rate and moisture content were not significant after 6 hours and 24 hours.</w:t>
      </w:r>
      <w:r>
        <w:rPr>
          <w:rFonts w:ascii="Georgia" w:hAnsi="Georgia" w:cs="Georgia" w:eastAsia="Georgia"/>
          <w:color w:val="000000"/>
          <w:sz w:val="22"/>
          <w:strike w:val="0"/>
        </w:rPr>
        <w:t xml:space="preserve"> [R]</w:t>
      </w:r>
      <w:r>
        <w:rPr>
          <w:rFonts w:ascii="Georgia" w:hAnsi="Georgia" w:cs="Georgia" w:eastAsia="Georgia"/>
          <w:b w:val="0"/>
          <w:color w:val="000000"/>
          <w:sz w:val="22"/>
          <w:strike w:val="0"/>
        </w:rPr>
        <w:t xml:space="preserve"> Therefore, it is </w:t>
      </w:r>
      <w:r>
        <w:rPr>
          <w:rFonts w:ascii="Georgia" w:hAnsi="Georgia" w:cs="Georgia" w:eastAsia="Georgia"/>
          <w:color w:val="000000"/>
          <w:sz w:val="22"/>
          <w:strike/>
        </w:rPr>
        <w:t>recommended</w:t>
      </w:r>
      <w:r>
        <w:rPr>
          <w:rFonts w:ascii="Georgia" w:hAnsi="Georgia" w:cs="Georgia" w:eastAsia="Georgia"/>
          <w:color w:val="808080"/>
          <w:sz w:val="22"/>
          <w:strike w:val="0"/>
        </w:rPr>
        <w:t xml:space="preserve"> (FP-Rec)</w:t>
      </w:r>
      <w:r>
        <w:rPr>
          <w:rFonts w:ascii="Georgia" w:hAnsi="Georgia" w:cs="Georgia" w:eastAsia="Georgia"/>
          <w:b w:val="0"/>
          <w:color w:val="000000"/>
          <w:sz w:val="22"/>
          <w:strike w:val="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