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r>
        <w:rPr>
          <w:rFonts w:ascii="Georgia" w:hAnsi="Georgia" w:cs="Georgia" w:eastAsia="Georgia"/>
          <w:rtl w:val="0"/>
        </w:rPr>
        <w:t xml:space="preserve"> A related direction—coding mitigation more broadly without the epistemic-only filter—is noted under Recommendations.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6 presents the function distribution.</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test for non-epistemic functions. The present study defined hedging as epistemic stance management, following Hyland (1998) and Salager-Meyer (1994), and applied the Working Test so that retained hedges are those that change the epistemic weight of a claim. Under that scheme, all retained hedges were coded Epistemic Caution; the uniform function assignment is therefore partly a methodological finding about the adapted screen, not a claim that Politeness or Discourse Organization never appear in developing-researcher writing. A future study could code mitigation more broadly—devices that soften or qualify claims even when they do not pass a strict epistemic filter—and then classify epistemic, politeness, and discourse-organizing uses under that wider net. Such work would complement the present counts by testing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