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The clearest contrast is Veterinary Medicine's lower hedge density and higher zero-hedge share (Part II). Agriculture and Biology are near-tied on density; the Agriculture-Biology difference is marginal and sensitive to Acs2, so it is not treated as a stable ranking. Descriptive notes only: Agriculture shows a near balance of modal and lexical hedges with tokens such as potential and suggests often in conclusion sentences; Biology's hedges are predominantly lexical, with potential sometimes in aim statements as topic-naming. Neither note is offered as a discipline-level profile. Outcome type was coded for all 60 abstracts (Binary, Continuous, Mixed, Null/NS, Other; see Compiled Results Draft_003). Veterinary Medicine has the largest share of Binary abstracts (8 of 20); those Binary abstracts average 0.38 hedges, below the VM overall mean. Biology Binary abstracts average higher. The pattern is compatible with a partial outcome-type account of VM density but does not isolate outcome type from adviser practice or field norms; no formal test of independence was run. Field norms, adviser practice, and outcome type remain unseparated. The defensible claim is that VM abstracts in this corpus hedge less; the cause remains unknown.</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