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80" w:line="32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60" w:line="320" w:lineRule="auto"/>
        <w:ind w:left="288" w:hanging="288"/>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100" w:after="40" w:line="32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60" w:line="320" w:lineRule="auto"/>
        <w:ind w:left="288" w:hanging="288"/>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40" w:after="20" w:line="32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60" w:line="320" w:lineRule="auto"/>
        <w:ind w:left="288" w:hanging="288"/>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60" w:line="320" w:lineRule="auto"/>
        <w:ind w:left="288" w:hanging="288"/>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60" w:line="320" w:lineRule="auto"/>
        <w:ind w:left="288" w:hanging="288"/>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60" w:line="320" w:lineRule="auto"/>
        <w:ind w:left="288" w:hanging="288"/>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32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32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32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100" w:after="40" w:line="32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60" w:line="320" w:lineRule="auto"/>
        <w:ind w:left="288" w:hanging="288"/>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100" w:after="40" w:line="32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32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32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00" w:after="40" w:line="300" w:lineRule="auto"/>
        <w:jc w:val="left"/>
      </w:pPr>
      <w:r>
        <w:rPr>
          <w:rFonts w:ascii="Georgia" w:hAnsi="Georgia" w:cs="Georgia" w:eastAsia="Georgia"/>
          <w:sz w:val="22"/>
          <w:szCs w:val="22"/>
          <w:b/>
        </w:rPr>
        <w:br w:type="page"/>
      </w:r>
      <w:r>
        <w:rPr>
          <w:rFonts w:ascii="Georgia" w:hAnsi="Georgia" w:cs="Georgia" w:eastAsia="Georgia"/>
          <w:b/>
          <w:bCs w:val="1"/>
          <w:sz w:val="22"/>
          <w:szCs w:val="22"/>
          <w:rtl w:val="0"/>
        </w:rPr>
        <w:t>FULL CODEBOOK</w:t>
      </w:r>
      <w:r>
        <w:rPr>
          <w:rFonts w:ascii="Georgia" w:hAnsi="Georgia" w:cs="Georgia" w:eastAsia="Georgia"/>
          <w:rtl w:val="0"/>
          <w:sz w:val="22"/>
          <w:szCs w:val="22"/>
          <w:b/>
        </w:rPr>
      </w:r>
    </w:p>
    <w:p w:rsidR="00000000" w:rsidDel="00000000" w:rsidP="00000000" w:rsidRDefault="00000000" w:rsidRPr="00000000" w14:paraId="000001B5">
      <w:pPr>
        <w:spacing w:before="100" w:after="40" w:line="300" w:lineRule="auto"/>
        <w:jc w:val="left"/>
      </w:pPr>
      <w:r>
        <w:rPr>
          <w:rFonts w:ascii="Georgia" w:hAnsi="Georgia" w:cs="Georgia" w:eastAsia="Georgia"/>
          <w:b/>
          <w:bCs w:val="1"/>
          <w:sz w:val="22"/>
          <w:szCs w:val="22"/>
          <w:rtl w:val="0"/>
        </w:rPr>
        <w:t>PURPOSE</w:t>
      </w:r>
      <w:r>
        <w:rPr>
          <w:rFonts w:ascii="Georgia" w:hAnsi="Georgia" w:cs="Georgia" w:eastAsia="Georgia"/>
          <w:rtl w:val="0"/>
          <w:sz w:val="22"/>
          <w:szCs w:val="22"/>
          <w:b/>
        </w:rPr>
      </w:r>
    </w:p>
    <w:p w:rsidR="00000000" w:rsidDel="00000000" w:rsidP="00000000" w:rsidRDefault="00000000" w:rsidRPr="00000000" w14:paraId="000001B6">
      <w:pPr>
        <w:spacing w:before="0" w:after="60" w:line="300" w:lineRule="auto"/>
        <w:ind w:left="360" w:hanging="360"/>
        <w:jc w:val="both"/>
      </w:pPr>
      <w:r>
        <w:rPr>
          <w:rFonts w:ascii="Georgia" w:hAnsi="Georgia" w:cs="Georgia" w:eastAsia="Georgia"/>
          <w:sz w:val="20"/>
          <w:szCs w:val="20"/>
        </w:rPr>
        <w:t xml:space="preserve">• Coding scheme for the PSAU undergraduate thesis abstract corpus, adapted from Hyland (1998) as type instrument.</w:t>
      </w:r>
    </w:p>
    <w:p w:rsidR="00000000" w:rsidDel="00000000" w:rsidP="00000000" w:rsidRDefault="00000000" w:rsidRPr="00000000" w14:paraId="000001B8">
      <w:pPr>
        <w:spacing w:before="100" w:after="40" w:line="300" w:lineRule="auto"/>
        <w:jc w:val="left"/>
      </w:pPr>
      <w:r>
        <w:rPr>
          <w:rFonts w:ascii="Georgia" w:hAnsi="Georgia" w:cs="Georgia" w:eastAsia="Georgia"/>
          <w:sz w:val="22"/>
          <w:szCs w:val="22"/>
          <w:rtl w:val="0"/>
          <w:b/>
          <w:bCs w:val="0"/>
        </w:rPr>
        <w:t>STEP 1, STEP 2, STEP 3, AND WORKING TEST</w:t>
      </w:r>
      <w:r>
        <w:rPr>
          <w:rFonts w:ascii="Georgia" w:hAnsi="Georgia" w:cs="Georgia" w:eastAsia="Georgia"/>
          <w:rtl w:val="0"/>
          <w:sz w:val="22"/>
          <w:szCs w:val="22"/>
          <w:b/>
        </w:rPr>
      </w:r>
    </w:p>
    <w:p w:rsidR="00000000" w:rsidDel="00000000" w:rsidP="00000000" w:rsidRDefault="00000000" w:rsidRPr="00000000" w14:paraId="000001B9">
      <w:pPr>
        <w:spacing w:before="0" w:after="60" w:line="300" w:lineRule="auto"/>
        <w:ind w:left="360" w:hanging="360"/>
        <w:jc w:val="both"/>
      </w:pPr>
      <w:r>
        <w:rPr>
          <w:rFonts w:ascii="Georgia" w:hAnsi="Georgia" w:cs="Georgia" w:eastAsia="Georgia"/>
          <w:sz w:val="20"/>
          <w:szCs w:val="20"/>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00" w:lineRule="auto"/>
        <w:ind w:left="360" w:hanging="360"/>
        <w:jc w:val="both"/>
      </w:pPr>
      <w:r>
        <w:rPr>
          <w:rFonts w:ascii="Georgia" w:hAnsi="Georgia" w:cs="Georgia" w:eastAsia="Georgia"/>
          <w:sz w:val="20"/>
          <w:szCs w:val="2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00" w:lineRule="auto"/>
        <w:ind w:left="360" w:hanging="360"/>
        <w:jc w:val="both"/>
      </w:pPr>
      <w:r>
        <w:rPr>
          <w:rFonts w:ascii="Georgia" w:hAnsi="Georgia" w:cs="Georgia" w:eastAsia="Georgia"/>
          <w:sz w:val="20"/>
          <w:szCs w:val="20"/>
        </w:rPr>
        <w:t xml:space="preserve">• Step 3 (type). On retained P and EC tokens only, assign grammatical type (modal, lexical, adverbial, clause-level).</w:t>
      </w:r>
    </w:p>
    <w:p w:rsidR="00000000" w:rsidDel="00000000" w:rsidP="00000000" w:rsidRDefault="00000000" w:rsidRPr="00000000" w14:paraId="000001BC">
      <w:pPr>
        <w:spacing w:before="0" w:after="60" w:line="300" w:lineRule="auto"/>
        <w:ind w:left="360" w:hanging="360"/>
        <w:jc w:val="both"/>
      </w:pPr>
      <w:r>
        <w:rPr>
          <w:rFonts w:ascii="Georgia" w:hAnsi="Georgia" w:cs="Georgia" w:eastAsia="Georgia"/>
          <w:sz w:val="20"/>
          <w:szCs w:val="2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100" w:after="40" w:line="300" w:lineRule="auto"/>
        <w:jc w:val="left"/>
      </w:pPr>
      <w:r>
        <w:rPr>
          <w:rFonts w:ascii="Georgia" w:hAnsi="Georgia" w:cs="Georgia" w:eastAsia="Georgia"/>
          <w:sz w:val="22"/>
          <w:szCs w:val="22"/>
          <w:rtl w:val="0"/>
          <w:b/>
          <w:bCs w:val="0"/>
        </w:rPr>
        <w:t xml:space="preserve">
        WORKING EXAMPLES: STEP 2 (WORKING TEST + READER TEST) AND STEP 3 TYPE
    </w:t>
      </w:r>
      <w:r>
        <w:rPr>
          <w:rFonts w:ascii="Georgia" w:hAnsi="Georgia" w:cs="Georgia" w:eastAsia="Georgia"/>
          <w:rtl w:val="0"/>
          <w:b w:val="1"/>
          <w:sz w:val="22"/>
          <w:szCs w:val="22"/>
        </w:rPr>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FP-Cap: “PCR can detect low concentrations.” can = capability, not uncertainty about a finding.</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100" w:after="40" w:line="300" w:lineRule="auto"/>
        <w:jc w:val="left"/>
      </w:pPr>
      <w:r>
        <w:rPr>
          <w:rFonts w:ascii="Georgia" w:hAnsi="Georgia" w:cs="Georgia" w:eastAsia="Georgia"/>
          <w:b/>
          <w:bCs w:val="1"/>
          <w:sz w:val="22"/>
          <w:szCs w:val="22"/>
          <w:rtl w:val="0"/>
        </w:rPr>
        <w:t>HEDGE TYPE (PRIMARY COLORS)</w:t>
      </w:r>
      <w:r>
        <w:rPr>
          <w:rFonts w:ascii="Georgia" w:hAnsi="Georgia" w:cs="Georgia" w:eastAsia="Georgia"/>
          <w:rtl w:val="0"/>
          <w:sz w:val="22"/>
          <w:szCs w:val="22"/>
          <w:b/>
        </w:rPr>
      </w:r>
    </w:p>
    <w:p w:rsidR="00000000" w:rsidDel="00000000" w:rsidP="00000000" w:rsidRDefault="00000000" w:rsidRPr="00000000" w14:paraId="000001BF">
      <w:pPr>
        <w:spacing w:before="0" w:after="60" w:line="300" w:lineRule="auto"/>
        <w:ind w:left="360"/>
        <w:jc w:val="both"/>
      </w:pPr>
      <w:r>
        <w:rPr>
          <w:rFonts w:ascii="Georgia" w:cs="Georgia" w:eastAsia="Georgia" w:hAnsi="Georgia"/>
          <w:bCs w:val="0"/>
          <w:i w:val="0"/>
          <w:iCs w:val="0"/>
          <w:sz w:val="20"/>
          <w:szCs w:val="20"/>
          <w:rtl w:val="0"/>
        </w:rPr>
        <w:t xml:space="preserve">Highlight each hedge token in the color matching its grammatical form.</w:t>
      </w:r>
      <w:r>
        <w:rPr>
          <w:rFonts w:ascii="Georgia" w:hAnsi="Georgia" w:cs="Georgia" w:eastAsia="Georgia"/>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160" w:after="60" w:line="300" w:lineRule="auto"/>
        <w:ind w:left="360"/>
        <w:jc w:val="both"/>
      </w:pPr>
      <w:r>
        <w:rPr>
          <w:rFonts w:ascii="Georgia" w:hAnsi="Georgia" w:cs="Georgia" w:eastAsia="Georgia"/>
          <w:bCs w:val="0"/>
          <w:i w:val="1"/>
          <w:iCs w:val="1"/>
          <w:color w:val="000000"/>
          <w:sz w:val="20"/>
          <w:szCs w:val="20"/>
          <w:rtl w:val="0"/>
        </w:rPr>
        <w:t>Exclusions (capability, recommendation, procedural norm, location) are in the Decision Rules table.</w:t>
      </w:r>
      <w:r>
        <w:rPr>
          <w:rFonts w:ascii="Georgia" w:cs="Georgia" w:eastAsia="Georgia" w:hAnsi="Georgia"/>
          <w:bCs w:val="1"/>
          <w:i w:val="1"/>
          <w:iCs w:val="1"/>
          <w:color w:val="000000"/>
          <w:sz w:val="20"/>
          <w:szCs w:val="20"/>
          <w:rtl w:val="0"/>
        </w:rPr>
      </w:r>
      <w:r>
        <w:rPr>
          <w:rFonts w:ascii="Georgia" w:cs="Georgia" w:eastAsia="Georgia" w:hAnsi="Georgia"/>
          <w:bCs w:val="0"/>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6">
      <w:pPr>
        <w:spacing w:before="0" w:after="60" w:line="300" w:lineRule="auto"/>
        <w:ind w:left="360" w:hanging="360"/>
        <w:jc w:val="both"/>
      </w:pPr>
      <w:r>
        <w:rPr>
          <w:rFonts w:ascii="Georgia" w:hAnsi="Georgia" w:cs="Georgia" w:eastAsia="Georgia"/>
          <w:sz w:val="20"/>
          <w:szCs w:val="20"/>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100" w:after="40" w:line="300" w:lineRule="auto"/>
        <w:jc w:val="left"/>
      </w:pPr>
      <w:r>
        <w:rPr>
          <w:rFonts w:ascii="Georgia" w:hAnsi="Georgia" w:cs="Georgia" w:eastAsia="Georgia"/>
          <w:b/>
          <w:bCs w:val="1"/>
          <w:sz w:val="22"/>
          <w:szCs w:val="22"/>
          <w:rtl w:val="0"/>
        </w:rPr>
        <w:t>HEDGE FUNCTION (COLORED TEXT LABELS)</w:t>
      </w:r>
      <w:r>
        <w:rPr>
          <w:rFonts w:ascii="Georgia" w:hAnsi="Georgia" w:cs="Georgia" w:eastAsia="Georgia"/>
          <w:rtl w:val="0"/>
          <w:sz w:val="22"/>
          <w:szCs w:val="22"/>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keepNext/>
        <w:spacing w:before="160" w:after="40" w:line="300" w:lineRule="auto"/>
        <w:jc w:val="left"/>
      </w:pPr>
      <w:r>
        <w:rPr>
          <w:rFonts w:ascii="Georgia" w:cs="Georgia" w:eastAsia="Georgia" w:hAnsi="Georgia"/>
          <w:b w:val="1"/>
          <w:bCs w:val="1"/>
          <w:sz w:val="22"/>
          <w:szCs w:val="22"/>
          <w:rtl w:val="0"/>
        </w:rPr>
        <w:t xml:space="preserve">DECISION RULES FOR AMBIGUOUS CASES</w:t>
      </w:r>
      <w:r>
        <w:rPr>
          <w:rFonts w:ascii="Georgia" w:hAnsi="Georgia" w:cs="Georgia" w:eastAsia="Georgia"/>
          <w:rtl w:val="0"/>
          <w:sz w:val="22"/>
          <w:szCs w:val="22"/>
          <w:b/>
        </w:rPr>
      </w:r>
    </w:p>
    <w:p w:rsidR="00000000" w:rsidDel="00000000" w:rsidP="00000000" w:rsidRDefault="00000000" w:rsidRPr="00000000" w14:paraId="000001EB">
      <w:pPr>
        <w:spacing w:before="0" w:after="60" w:line="300" w:lineRule="auto"/>
        <w:ind w:left="360"/>
        <w:jc w:val="both"/>
      </w:pPr>
      <w:r>
        <w:rPr>
          <w:rFonts w:ascii="Georgia" w:cs="Georgia" w:eastAsia="Georgia" w:hAnsi="Georgia"/>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160" w:after="60" w:line="300" w:lineRule="auto"/>
        <w:ind w:left="360"/>
        <w:jc w:val="both"/>
      </w:pPr>
      <w:r>
        <w:rPr>
          <w:rFonts w:ascii="Georgia" w:cs="Georgia" w:eastAsia="Georgia" w:hAnsi="Georgia"/>
          <w:bCs w:val="1"/>
          <w:i w:val="1"/>
          <w:iCs w:val="1"/>
          <w:color w:val="000000"/>
          <w:sz w:val="20"/>
          <w:szCs w:val="20"/>
          <w:rtl w:val="0"/>
        </w:rPr>
        <w:t xml:space="preserve">General exclusions: </w:t>
      </w:r>
      <w:r>
        <w:rPr>
          <w:rFonts w:ascii="Georgia" w:cs="Georgia" w:eastAsia="Georgia" w:hAnsi="Georgia"/>
          <w:bCs w:val="0"/>
          <w:i w:val="1"/>
          <w:iCs w:val="1"/>
          <w:color w:val="000000"/>
          <w:sz w:val="20"/>
          <w:szCs w:val="20"/>
          <w:rtl w:val="0"/>
        </w:rPr>
        <w:t xml:space="preserve">ability, future procedure, and procedural necessity (a step required by the procedure itself) are never coded as hedges.</w:t>
      </w:r>
      <w:r>
        <w:rPr>
          <w:rFonts w:ascii="Georgia" w:hAnsi="Georgia" w:cs="Georgia" w:eastAsia="Georgia"/>
          <w:rtl w:val="0"/>
          <w:sz w:val="20"/>
          <w:szCs w:val="20"/>
        </w:rPr>
      </w:r>
    </w:p>
    <w:p w:rsidR="00000000" w:rsidDel="00000000" w:rsidP="00000000" w:rsidRDefault="00000000" w:rsidRPr="00000000" w14:paraId="00000209">
      <w:pPr>
        <w:spacing w:before="0" w:after="60" w:line="300" w:lineRule="auto"/>
        <w:ind w:left="360"/>
        <w:jc w:val="both"/>
      </w:pPr>
      <w:r>
        <w:rPr>
          <w:rFonts w:ascii="Georgia" w:cs="Georgia" w:eastAsia="Georgia" w:hAnsi="Georgia"/>
          <w:bCs w:val="0"/>
          <w:i w:val="1"/>
          <w:iCs w:val="1"/>
          <w:color w:val="000000"/>
          <w:sz w:val="20"/>
          <w:szCs w:val="20"/>
          <w:rtl w:val="0"/>
        </w:rPr>
        <w:t xml:space="preserve">Quick test for </w:t>
      </w:r>
      <w:r>
        <w:rPr>
          <w:rFonts w:ascii="Georgia" w:cs="Georgia" w:eastAsia="Georgia" w:hAnsi="Georgia"/>
          <w:bCs w:val="1"/>
          <w:i w:val="1"/>
          <w:iCs w:val="1"/>
          <w:color w:val="000000"/>
          <w:sz w:val="20"/>
          <w:szCs w:val="20"/>
          <w:rtl w:val="0"/>
        </w:rPr>
        <w:t xml:space="preserve">suggest/indicate</w:t>
      </w:r>
      <w:r>
        <w:rPr>
          <w:rFonts w:ascii="Georgia" w:cs="Georgia" w:eastAsia="Georgia" w:hAnsi="Georgia"/>
          <w:bCs w:val="0"/>
          <w:i w:val="1"/>
          <w:iCs w:val="1"/>
          <w:color w:val="000000"/>
          <w:sz w:val="20"/>
          <w:szCs w:val="20"/>
          <w:rtl w:val="0"/>
        </w:rPr>
        <w:t xml:space="preserve">: “Might this be true?” = hedge. “Should this be done?” = FP-Rec.</w:t>
      </w:r>
      <w:r>
        <w:rPr>
          <w:rFonts w:ascii="Georgia" w:hAnsi="Georgia" w:cs="Georgia" w:eastAsia="Georgia"/>
          <w:rtl w:val="0"/>
          <w:sz w:val="20"/>
          <w:szCs w:val="20"/>
        </w:rPr>
      </w:r>
    </w:p>
    <w:p w:rsidR="00000000" w:rsidDel="00000000" w:rsidP="00000000" w:rsidRDefault="00000000" w:rsidRPr="00000000" w14:paraId="0000020B">
      <w:pPr>
        <w:keepNext/>
        <w:spacing w:before="100" w:after="40" w:line="300" w:lineRule="auto"/>
        <w:jc w:val="left"/>
      </w:pPr>
      <w:r>
        <w:rPr>
          <w:rFonts w:ascii="Georgia" w:cs="Georgia" w:eastAsia="Georgia" w:hAnsi="Georgia"/>
          <w:b w:val="1"/>
          <w:bCs w:val="1"/>
          <w:sz w:val="22"/>
          <w:szCs w:val="22"/>
          <w:rtl w:val="0"/>
        </w:rPr>
        <w:t xml:space="preserve">MARKING FALSE POSITIVES</w:t>
      </w:r>
      <w:r>
        <w:rPr>
          <w:rFonts w:ascii="Georgia" w:hAnsi="Georgia" w:cs="Georgia" w:eastAsia="Georgia"/>
          <w:rtl w:val="0"/>
          <w:sz w:val="22"/>
          <w:szCs w:val="22"/>
          <w:b/>
        </w:rPr>
      </w:r>
    </w:p>
    <w:p w:rsidR="00000000" w:rsidDel="00000000" w:rsidP="00000000" w:rsidRDefault="00000000" w:rsidRPr="00000000" w14:paraId="0000020C">
      <w:pPr>
        <w:spacing w:before="0" w:after="60" w:line="300" w:lineRule="auto"/>
        <w:ind w:left="360"/>
        <w:jc w:val="both"/>
      </w:pPr>
      <w:r>
        <w:rPr>
          <w:rFonts w:ascii="Georgia" w:cs="Georgia" w:eastAsia="Georgia" w:hAnsi="Georgia"/>
          <w:bCs w:val="0"/>
          <w:i w:val="0"/>
          <w:iCs w:val="0"/>
          <w:sz w:val="20"/>
          <w:szCs w:val="20"/>
          <w:rtl w:val="0"/>
        </w:rPr>
        <w:t xml:space="preserve">Strike through a hedge-like token that fails the Working Test. Write the reason code beside it in grey text.</w:t>
      </w:r>
      <w:r>
        <w:rPr>
          <w:rFonts w:ascii="Georgia" w:hAnsi="Georgia" w:cs="Georgia" w:eastAsia="Georgia"/>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spacing w:before="160" w:after="40" w:line="300" w:lineRule="auto"/>
        <w:jc w:val="left"/>
      </w:pPr>
      <w:r>
        <w:rPr>
          <w:rFonts w:ascii="Georgia" w:hAnsi="Georgia" w:cs="Georgia" w:eastAsia="Georgia"/>
          <w:b/>
          <w:bCs w:val="1"/>
          <w:sz w:val="22"/>
          <w:szCs w:val="22"/>
          <w:rtl w:val="0"/>
        </w:rPr>
        <w:t>UNHEDGED ASSERTIONS (WARRANTED CAUTION, NEUTRAL GREY)</w:t>
      </w:r>
      <w:r>
        <w:rPr>
          <w:rFonts w:ascii="Georgia" w:hAnsi="Georgia" w:cs="Georgia" w:eastAsia="Georgia"/>
          <w:rtl w:val="0"/>
          <w:sz w:val="22"/>
          <w:szCs w:val="22"/>
          <w:b/>
        </w:rPr>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Grey-highlight the main assertive verb; place [G] or [C] beside it (same placement as (EC) on hedges).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Mark only claims where caution was warranted but absent.</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[G] = generalization or evaluative ranking beyond the data.</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[C] = cause–effect or impact stronger than the design supports.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Do not mark bare trial results, measured findings, or procedural statements.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keepNext/>
        <w:spacing w:before="160" w:after="40" w:line="300" w:lineRule="auto"/>
        <w:jc w:val="left"/>
      </w:pPr>
      <w:r>
        <w:rPr>
          <w:rFonts w:ascii="Georgia" w:hAnsi="Georgia" w:cs="Georgia" w:eastAsia="Georgia"/>
          <w:b/>
          <w:bCs w:val="1"/>
          <w:sz w:val="22"/>
          <w:szCs w:val="22"/>
          <w:rtl w:val="0"/>
        </w:rPr>
        <w:t>CODING SHEET COLUMNS</w:t>
      </w:r>
      <w:r>
        <w:rPr>
          <w:rFonts w:ascii="Georgia" w:hAnsi="Georgia" w:cs="Georgia" w:eastAsia="Georgia"/>
          <w:rtl w:val="0"/>
          <w:sz w:val="22"/>
          <w:szCs w:val="22"/>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160" w:after="60" w:line="300" w:lineRule="auto"/>
        <w:ind w:left="360" w:hanging="360"/>
        <w:jc w:val="both"/>
      </w:pPr>
      <w:r>
        <w:rPr>
          <w:rFonts w:ascii="Georgia" w:hAnsi="Georgia" w:cs="Georgia" w:eastAsia="Georgia"/>
          <w:sz w:val="20"/>
          <w:szCs w:val="20"/>
        </w:rPr>
        <w:t xml:space="preserve">• Highlighted abstract = primary record. Spreadsheet = tallying and analysis only.</w:t>
      </w:r>
    </w:p>
    <w:p w:rsidR="00000000" w:rsidDel="00000000" w:rsidP="00000000" w:rsidRDefault="00000000" w:rsidRPr="00000000" w14:paraId="0000025A">
      <w:pPr>
        <w:spacing w:before="0" w:after="60" w:line="300" w:lineRule="auto"/>
        <w:ind w:left="360" w:hanging="360"/>
        <w:jc w:val="both"/>
      </w:pPr>
      <w:r>
        <w:rPr>
          <w:rFonts w:ascii="Georgia" w:hAnsi="Georgia" w:cs="Georgia" w:eastAsia="Georgia"/>
          <w:sz w:val="20"/>
          <w:szCs w:val="20"/>
        </w:rPr>
        <w:t xml:space="preserve">• Codes: Acs1–Acs10, Aas1–Aas10 (Agriculture). VM1–VM20. B1–B20 (Biology).</w:t>
      </w:r>
    </w:p>
    <w:p w:rsidR="00000000" w:rsidDel="00000000" w:rsidP="00000000" w:rsidRDefault="00000000" w:rsidRPr="00000000" w14:paraId="0000025D">
      <w:pPr>
        <w:spacing w:before="0" w:after="60" w:line="300" w:lineRule="auto"/>
        <w:ind w:left="360" w:hanging="360"/>
        <w:jc w:val="both"/>
      </w:pPr>
      <w:r>
        <w:rPr>
          <w:rFonts w:ascii="Georgia" w:hAnsi="Georgia" w:cs="Georgia" w:eastAsia="Georgia"/>
          <w:sz w:val="20"/>
          <w:szCs w:val="20"/>
        </w:rPr>
        <w:t xml:space="preserve">• Unhedged rows separate from hedge tallies. [G]/[C] only for warranted-but-absent caution.</w:t>
      </w:r>
    </w:p>
    <w:p w:rsidR="00000000" w:rsidDel="00000000" w:rsidP="00000000" w:rsidRDefault="00000000" w:rsidRPr="00000000" w14:paraId="0000026C">
      <w:pPr>
        <w:spacing w:before="0" w:after="60" w:line="300" w:lineRule="auto"/>
        <w:ind w:left="360" w:hanging="360"/>
        <w:jc w:val="both"/>
      </w:pPr>
      <w:r>
        <w:rPr>
          <w:rFonts w:ascii="Georgia" w:hAnsi="Georgia" w:cs="Georgia" w:eastAsia="Georgia"/>
          <w:sz w:val="20"/>
          <w:szCs w:val="20"/>
        </w:rPr>
        <w:t xml:space="preserve">• Optional Rejected Candidates tab for FP traceability.</w:t>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