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sz w:val="22"/>
        </w:rPr>
        <w:t>This section presents the results, analysis, and discussion of the rhetorical appeals and directive subtypes identified in the call-to-action (CTA) phrases of Facebook skincare advertisement captions. The chapter is organized into three parts, each corresponding to a research question. Part I presents the rhetorical appeals identified in the CTA phrases. Part II examines the directive subtypes present in the CTA phrases. Part III discusses how the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sz w:val="22"/>
        </w:rPr>
        <w:t>The coding identified three rhetorical appeals across the 34 call-to-action (CTA) phrases from the selected Facebook skincare advertisement captions. These appeals were classified as logos, pathos, and ethos based on Aristotle’s rhetorical framework (Rapp, 2022). In identifying the dominant rhetorical appeal, the full advertisement caption was examined to determine the textual elements that indicated the appeal, while the CTA phrase served as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line="480" w:lineRule="auto" w:before="0" w:after="0"/>
        <w:ind w:firstLine="720"/>
        <w:jc w:val="both"/>
      </w:pPr>
      <w:r>
        <w:rPr>
          <w:rFonts w:ascii="Georgia" w:hAnsi="Georgia" w:eastAsia="Georgia"/>
          <w:sz w:val="22"/>
        </w:rPr>
        <w:t>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 Similar attention to product-based and fact-oriented language appears in analyses of social media advertising (Nasir et al., 2025).</w:t>
      </w:r>
    </w:p>
    <w:p>
      <w:pPr>
        <w:spacing w:line="480" w:lineRule="auto" w:before="0" w:after="0"/>
        <w:ind w:firstLine="720"/>
        <w:jc w:val="both"/>
      </w:pPr>
      <w:r>
        <w:rPr>
          <w:rFonts w:ascii="Georgia" w:hAnsi="Georgia" w:eastAsia="Georgia"/>
          <w:sz w:val="22"/>
        </w:rPr>
        <w:t>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 Dwiyanti (2024) likewise found pathos frequently used in makeup and skincare video advertisements through emotional and aspirational presentation.</w:t>
      </w:r>
    </w:p>
    <w:p>
      <w:pPr>
        <w:spacing w:line="480" w:lineRule="auto" w:before="0" w:after="0"/>
        <w:ind w:firstLine="720"/>
        <w:jc w:val="both"/>
      </w:pPr>
      <w:r>
        <w:rPr>
          <w:rFonts w:ascii="Georgia" w:hAnsi="Georgia" w:eastAsia="Georgia"/>
          <w:sz w:val="22"/>
        </w:rPr>
        <w:t>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line="480" w:lineRule="auto" w:before="0" w:after="0"/>
        <w:ind w:firstLine="720"/>
        <w:jc w:val="both"/>
      </w:pPr>
      <w:r>
        <w:rPr>
          <w:rFonts w:ascii="Georgia" w:hAnsi="Georgia" w:eastAsia="Georgia"/>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was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 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w:t>
      </w:r>
    </w:p>
    <w:p>
      <w:pPr>
        <w:spacing w:line="480" w:lineRule="auto" w:before="0" w:after="0"/>
        <w:ind w:firstLine="720"/>
        <w:jc w:val="both"/>
      </w:pPr>
      <w:r>
        <w:rPr>
          <w:rFonts w:ascii="Georgia" w:hAnsi="Georgia" w:eastAsia="Georgia"/>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Searle (1975, 1976) describes directives as speech acts through which the speaker attempts to get the hearer to perform an action. Table 3 presents the distribution of directive subtypes across the five selected skincare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sz w:val="22"/>
        </w:rPr>
        <w:t xml:space="preserve">Parallel work on beauty captions has likewise found directive language used to encourage purchase and engagement, often through commands, suggestions, invitations, and advice (e.g., analyses of NIVEA Instagram captions using Searle’s framework). The CTA is treated here as an </w:t>
      </w:r>
      <w:r>
        <w:rPr>
          <w:rFonts w:ascii="Georgia" w:hAnsi="Georgia"/>
          <w:sz w:val="22"/>
        </w:rPr>
        <w:t>utterance that performs a social action, not only as promotional copy</w:t>
      </w:r>
      <w:r>
        <w:rPr>
          <w:rFonts w:ascii="Georgia" w:hAnsi="Georgia"/>
          <w:sz w:val="22"/>
        </w:rPr>
        <w:t>.</w:t>
      </w:r>
    </w:p>
    <w:p>
      <w:pPr>
        <w:spacing w:line="480" w:lineRule="auto" w:before="0" w:after="0"/>
        <w:ind w:firstLine="720"/>
        <w:jc w:val="both"/>
      </w:pPr>
      <w:r>
        <w:rPr>
          <w:rFonts w:ascii="Georgia" w:hAnsi="Georgia" w:eastAsia="Georgia"/>
          <w:sz w:val="22"/>
        </w:rPr>
        <w:t>A closer examination of order showed that it appeared in 22 CTA phrases across the five brands.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 Research on imperatives in advertising has also noted that such forms often function more like advice or recommendation than strict commands (Pennock-Speck &amp; Fuster-Márquez, 2014).</w:t>
      </w:r>
    </w:p>
    <w:p>
      <w:pPr>
        <w:spacing w:line="480" w:lineRule="auto" w:before="0" w:after="0"/>
        <w:ind w:firstLine="720"/>
        <w:jc w:val="both"/>
      </w:pPr>
      <w:r>
        <w:rPr>
          <w:rFonts w:ascii="Georgia" w:hAnsi="Georgia"/>
          <w:sz w:val="22"/>
        </w:rPr>
        <w:t xml:space="preserve">Under the operational definitions adopted from Anggraini and Afriana (2023), suggestion proposes a course of action while leaving the hearer room to accept or refuse it. Suggestion in this corpus often retains an </w:t>
      </w:r>
      <w:r>
        <w:rPr>
          <w:rFonts w:ascii="Georgia" w:hAnsi="Georgia"/>
          <w:sz w:val="22"/>
        </w:rPr>
        <w:t>imperative surface (Try, Give, Experience) but carries lower directive force than order</w:t>
      </w:r>
      <w:r>
        <w:rPr>
          <w:rFonts w:ascii="Georgia" w:hAnsi="Georgia"/>
          <w:sz w:val="22"/>
        </w:rPr>
        <w:t>.</w:t>
      </w:r>
    </w:p>
    <w:p>
      <w:pPr>
        <w:spacing w:line="480" w:lineRule="auto" w:before="0" w:after="0"/>
        <w:ind w:firstLine="720"/>
        <w:jc w:val="both"/>
      </w:pPr>
      <w:r>
        <w:rPr>
          <w:rFonts w:ascii="Georgia" w:hAnsi="Georgia" w:eastAsia="Georgia"/>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 This pattern is consistent with research noting that advertising imperatives often work as clear prompts rather than as formal commands or polite requests (Pennock-Speck &amp; Fuster-Márquez, 2014).</w:t>
      </w:r>
    </w:p>
    <w:p>
      <w:pPr>
        <w:spacing w:line="480" w:lineRule="auto" w:before="0" w:after="0"/>
        <w:ind w:firstLine="720"/>
        <w:jc w:val="both"/>
      </w:pPr>
      <w:r>
        <w:rPr>
          <w:rFonts w:ascii="Georgia" w:hAnsi="Georgia" w:eastAsia="Georgia"/>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 Related studies on cosmetics advertising in social media have likewise examined how rhetorical appeals and speech acts work together in promotional messages (Saad &amp; Ismael, 2025).</w:t>
      </w:r>
    </w:p>
    <w:p>
      <w:pPr>
        <w:spacing w:line="480" w:lineRule="auto" w:before="0" w:after="0"/>
        <w:ind w:firstLine="720"/>
        <w:jc w:val="both"/>
      </w:pPr>
      <w:r>
        <w:rPr>
          <w:rFonts w:ascii="Georgia" w:hAnsi="Georgia" w:eastAsia="Georgia"/>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 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Pathos + Order appeared in Olay, Luxe Organix, and Myra. This combination used emotional expressions or desirable outcomes alongside direct instructions. Pathos + Suggestion appeared in Luxe Organix, Myra, and Pond’s. This combination appealed to consumers’ feelings or desired appearance while inviting them to consider a product or action. Finally, Ethos + Order appeared once in Myra. This combination connected a credibility-related appeal with a direct instruction.</w:t>
      </w:r>
    </w:p>
    <w:p>
      <w:pPr>
        <w:spacing w:line="480" w:lineRule="auto" w:before="0" w:after="0"/>
        <w:ind w:firstLine="720"/>
        <w:jc w:val="both"/>
      </w:pPr>
      <w:r>
        <w:rPr>
          <w:rFonts w:ascii="Georgia" w:hAnsi="Georgia" w:eastAsia="Georgia"/>
          <w:sz w:val="22"/>
        </w:rPr>
        <w:t>These combinations helped connect the advertisements’ promotional messages with the actions encouraged by the CTA phrases. Across brands, the pairings varied: Olay combined pathos or logos with order; The Ordinary remained within logos, paired with order or suggestion; Myra showed a wider mix, including the single ethos case; and Pond’s and Luxe Organix mixed logos-based and pathos-based combinations.</w:t>
      </w:r>
    </w:p>
    <w:p>
      <w:pPr>
        <w:spacing w:line="480" w:lineRule="auto" w:before="0" w:after="0"/>
        <w:ind w:firstLine="720"/>
        <w:jc w:val="both"/>
      </w:pPr>
      <w:r>
        <w:rPr>
          <w:rFonts w:ascii="Georgia" w:hAnsi="Georgia" w:eastAsia="Georgia"/>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