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tblHeader/>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assertions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VM abstracts in this corpus hedge less. The causes remain unknown.</w:t>
      </w:r>
      <w:r>
        <w:rPr>
          <w:rtl w:val="0"/>
        </w:rPr>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20"/>
                <w:szCs w:val="20"/>
                <w:rtl w:val="0"/>
                <w:shd w:val="clear" w:color="auto" w:fill="bfbfbf"/>
              </w:rPr>
              <w:t xml:space="preserve">“was [G] the most compelling…” (mark) vs “Yield higher (p &lt; .05)” (omit).</w:t>
            </w:r>
            <w:r>
              <w:rPr>
                <w:rFonts w:ascii="Georgia" w:cs="Georgia" w:eastAsia="Georgia" w:hAnsi="Georgia"/>
                <w:b w:val="1"/>
                <w:bCs w:val="1"/>
                <w:strike w:val="0"/>
                <w:color w:val="000000"/>
                <w:sz w:val="20"/>
                <w:szCs w:val="20"/>
                <w:shd w:fill="bfbfbf" w:val="clear" w:color="auto"/>
                <w:rtl w:val="0"/>
              </w:rPr>
              <w:t xml:space="preserve"/>
            </w:r>
            <w:r>
              <w:rPr>
                <w:rFonts w:ascii="Georgia" w:cs="Georgia" w:eastAsia="Georgia" w:hAnsi="Georgia"/>
                <w:b w:val="0"/>
                <w:bCs w:val="0"/>
                <w:i w:val="0"/>
                <w:iCs w:val="0"/>
                <w:color w:val="000000"/>
                <w:sz w:val="20"/>
                <w:szCs w:val="20"/>
                <w:rtl w:val="0"/>
                <w:shd w:val="clear" w:color="auto" w:fill="bfbfbf"/>
              </w:rPr>
              <w:t xml:space="preserve"/>
            </w:r>
            <w:r>
              <w:rPr>
                <w:rtl w:val="0"/>
                <w:sz w:val="20"/>
                <w:szCs w:val="20"/>
                <w:rFonts w:ascii="Georgia" w:hAnsi="Georgia"/>
                <w:shd w:val="clear" w:color="auto" w:fill="bfbfbf"/>
              </w:rPr>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20"/>
                <w:szCs w:val="20"/>
                <w:rtl w:val="0"/>
                <w:shd w:val="clear" w:color="auto" w:fill="bfbfbf"/>
              </w:rPr>
              <w:t xml:space="preserve">“This led to the </w:t>
            </w:r>
            <w:r>
              <w:rPr>
                <w:rFonts w:ascii="Georgia" w:cs="Georgia" w:eastAsia="Georgia" w:hAnsi="Georgia"/>
                <w:b w:val="1"/>
                <w:bCs w:val="1"/>
                <w:strike w:val="0"/>
                <w:color w:val="000000"/>
                <w:sz w:val="20"/>
                <w:szCs w:val="20"/>
                <w:rtl w:val="0"/>
                <w:shd w:val="clear" w:color="auto" w:fill="bfbfbf"/>
              </w:rPr>
              <w:t xml:space="preserve">conclusion that</w:t>
            </w:r>
            <w:r>
              <w:rPr>
                <w:rFonts w:ascii="Georgia" w:cs="Georgia" w:eastAsia="Georgia" w:hAnsi="Georgia"/>
                <w:b w:val="0"/>
                <w:bCs w:val="0"/>
                <w:i w:val="0"/>
                <w:iCs w:val="0"/>
                <w:color w:val="000000"/>
                <w:sz w:val="20"/>
                <w:szCs w:val="20"/>
                <w:rtl w:val="0"/>
                <w:shd w:val="clear" w:color="auto" w:fill="bfbfbf"/>
              </w:rPr>
              <w:t xml:space="preserve"> all farms were free of it.”</w:t>
            </w:r>
            <w:r>
              <w:rPr>
                <w:rtl w:val="0"/>
                <w:sz w:val="20"/>
                <w:szCs w:val="20"/>
                <w:rFonts w:ascii="Georgia" w:hAnsi="Georgia"/>
                <w:shd w:val="clear" w:color="auto" w:fill="bfbfbf"/>
              </w:rPr>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20"/>
                <w:szCs w:val="20"/>
                <w:rtl w:val="0"/>
                <w:shd w:val="clear" w:color="auto" w:fill="bfbfbf"/>
              </w:rPr>
              <w:t xml:space="preserve">“Extracts </w:t>
            </w:r>
            <w:r>
              <w:rPr>
                <w:rFonts w:ascii="Georgia" w:cs="Georgia" w:eastAsia="Georgia" w:hAnsi="Georgia"/>
                <w:b w:val="1"/>
                <w:bCs w:val="1"/>
                <w:strike w:val="0"/>
                <w:color w:val="000000"/>
                <w:sz w:val="20"/>
                <w:szCs w:val="20"/>
                <w:rtl w:val="0"/>
                <w:shd w:val="clear" w:color="auto" w:fill="bfbfbf"/>
              </w:rPr>
              <w:t xml:space="preserve">produce</w:t>
            </w:r>
            <w:r>
              <w:rPr>
                <w:rFonts w:ascii="Georgia" w:cs="Georgia" w:eastAsia="Georgia" w:hAnsi="Georgia"/>
                <w:b w:val="0"/>
                <w:bCs w:val="0"/>
                <w:i w:val="0"/>
                <w:iCs w:val="0"/>
                <w:color w:val="000000"/>
                <w:sz w:val="20"/>
                <w:szCs w:val="20"/>
                <w:rtl w:val="0"/>
                <w:shd w:val="clear" w:color="auto" w:fill="bfbfbf"/>
              </w:rPr>
              <w:t xml:space="preserve"> comparable staining because they contain similar compounds.”</w:t>
            </w:r>
            <w:r>
              <w:rPr>
                <w:rtl w:val="0"/>
                <w:sz w:val="20"/>
                <w:szCs w:val="20"/>
                <w:rFonts w:ascii="Georgia" w:hAnsi="Georgia"/>
                <w:shd w:val="clear" w:color="auto" w:fill="bfbfbf"/>
              </w:rPr>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indicate (FP-Proc) the zone of inhibition in the evaluation of Antibacterial potential (FP-Gen)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[G] them a weak, unsuitable material to use in building walkways. This study is essential for getting insights into eco-brick manufacture because the workability of SUPs and UCOs as raw materials is proven. The research findings do not apply to buildings. Therefore, further research will (FP-Gen) aid in underlining the importance of optimizing the ingredient ratios to acquire desirable quality eco-bricks for sustainable construction applications.</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potential (FP-Gen)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caused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[G] a comprehensive approach for diagnosing and studying mycobacteriosis in cultivated milkfish, offering insights that can (FP-Cap) guide effective management strategies to control the spread of this disease in aquaculture system.</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[C] strong antibacterial activity.</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[C], while using only a small amount of Zoletil®. Additionally, it was also revealed that 40 g/L of sodium bicarbonate was sufficient to induce Stage 3 anesthesia in zebrafish.</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linked [C] to bacterial growth on eggshells, yolks and albumen, with p-values of 0.030 and 0.014, respectively. The findings suggests (FP-Rec) the need for assessment of knowledge, attitudes and practices of retail egg vendors about food safety and regular antimicrobial resistance monitoring on retail eggs.</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suggest (FP-Rec) the need to improve training, regulation of milk storage, and the enforcement of labeling and sanitation standards to improve public health safety in the milk supply chain.</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were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has [G] antibacterial property.</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can (FP-Cap)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recommended (FP-Rec) to mitigate rabies transmission risks. These insights align with broader efforts toward rabies elimination in the Philippines by 2030, emphasizing the importance of addressing localized KAP gaps through evidence-based interventions.</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influenced [G] the plant height, weight of fruits, number of marketable and non-marketable fruits, and computed yield. The researcher recommends (FP-Rec) foliar and drenching application of kuhol amino acid. because, numerically, it consistently produced the highest yield performance.</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was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had [C] the biggest impact, resulting in the heaviest weight. Additionally, the total return result showed [G] a promising future for fermented okara extract at a level of 60 ml (166.00 PHP).</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was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recommended (FP-Rec) for future researchers to add Diatomaceous earth and neem tree extract and check the humidity. Extend data collection for 72 hours and 96 hours for future study.</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