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Chi-Square Test of Independence,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Kruskal-Wallis Test,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 xml:space="preserve">Mann-Whitney U Test,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Softening,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keepNext/>
      </w:pPr>
      <w:r>
        <w:rPr>
          <w:rFonts w:ascii="Georgia" w:hAnsi="Georgia" w:cs="Georgia" w:eastAsia="Georgia"/>
          <w:sz w:val="24"/>
          <w:szCs w:val="24"/>
          <w:rtl w:val="0"/>
          <w:b/>
          <w:bCs/>
        </w:rPr>
        <w:t>COMBINED EXAMPLE</w:t>
      </w:r>
      <w:r>
        <w:rPr>
          <w:rtl w:val="0"/>
          <w:sz w:val="24"/>
          <w:szCs w:val="24"/>
        </w:rPr>
      </w:r>
    </w:p>
    <w:p>
      <w:pPr>
        <w:spacing w:before="0" w:after="0" w:line="276" w:lineRule="auto"/>
        <w:keepNext/>
      </w:pPr>
      <w:r>
        <w:rPr>
          <w:rFonts w:ascii="Georgia" w:hAnsi="Georgia"/>
          <w:sz w:val="20"/>
          <w:szCs w:val="20"/>
        </w:rPr>
        <w:t xml:space="preserve">“The results suggested (Lexical, EC) that extracts are potential (Lexical, EC) alternative stains. As prior studies indicated (Lexical, P), PCR can (FP-Cap) also detect low concentrations. Farmers should (FP-Rec) adopt the treatment. In conclusion, T3 produced the highest yield (FP framing). The treatment may (Modal, EC) reduce infection rates.”</w:t>
      </w:r>
      <w:r>
        <w:rPr>
          <w:rFonts w:ascii="Georgia" w:hAnsi="Georgia"/>
          <w:sz w:val="20"/>
          <w:szCs w:val="20"/>
          <w:highlight w:val="red"/>
          <w:color w:val="ffffff"/>
        </w:rPr>
        <w:t xml:space="preserve"/>
      </w:r>
      <w:r>
        <w:rPr>
          <w:rFonts w:ascii="Georgia" w:hAnsi="Georgia"/>
          <w:sz w:val="20"/>
          <w:szCs w:val="20"/>
          <w:color w:val="ed7d31"/>
        </w:rPr>
        <w:t xml:space="preserve"/>
      </w:r>
      <w:r>
        <w:rPr>
          <w:rFonts w:ascii="Georgia" w:hAnsi="Georgia"/>
          <w:sz w:val="20"/>
          <w:szCs w:val="20"/>
        </w:rPr>
        <w:t xml:space="preserve"/>
      </w:r>
      <w:r>
        <w:rPr>
          <w:rFonts w:ascii="Georgia" w:hAnsi="Georgia"/>
          <w:sz w:val="20"/>
          <w:szCs w:val="20"/>
          <w:highlight w:val="red"/>
          <w:color w:val="ffffff"/>
        </w:rPr>
        <w:t xml:space="preserve"/>
      </w:r>
      <w:r>
        <w:rPr>
          <w:rFonts w:ascii="Georgia" w:hAnsi="Georgia"/>
          <w:sz w:val="20"/>
          <w:szCs w:val="20"/>
          <w:color w:val="ed7d31"/>
        </w:rPr>
        <w:t xml:space="preserve"/>
      </w:r>
      <w:r>
        <w:rPr>
          <w:rFonts w:ascii="Georgia" w:hAnsi="Georgia"/>
          <w:sz w:val="20"/>
          <w:szCs w:val="20"/>
        </w:rPr>
        <w:t xml:space="preserve"/>
      </w:r>
      <w:r>
        <w:rPr>
          <w:rFonts w:ascii="Georgia" w:hAnsi="Georgia"/>
          <w:sz w:val="20"/>
          <w:szCs w:val="20"/>
          <w:strike/>
        </w:rPr>
        <w:t xml:space="preserve"/>
      </w:r>
      <w:r>
        <w:rPr>
          <w:rFonts w:ascii="Georgia" w:hAnsi="Georgia"/>
          <w:sz w:val="20"/>
          <w:szCs w:val="20"/>
          <w:color w:val="808080"/>
        </w:rPr>
        <w:t xml:space="preserve"/>
      </w:r>
      <w:r>
        <w:rPr>
          <w:rFonts w:ascii="Georgia" w:hAnsi="Georgia"/>
          <w:sz w:val="20"/>
          <w:szCs w:val="20"/>
        </w:rPr>
        <w:t xml:space="preserve"/>
      </w:r>
    </w:p>
    <w:p>
      <w:pPr>
        <w:spacing w:before="0" w:after="0" w:line="276"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245">
      <w:pPr>
        <w:spacing w:before="0" w:after="6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