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a discipline-specific management of uncertainty. However, current understanding of how Philippine developing researchers navigate these conventions remains limited. While previous studies have established that expert hedging varies significantly across fields such as Agriculture and Biology, there is a lack of empirical data on whether developing researchers at PSAU reflect these disciplinary distinctions in their abstracts. The absence of a local corpus baseline creates a gap in understanding. It remains unclear whether the thesis abstracts produced in these applied sciences reflect the field-specific rhetorical norms expected of them, or if they rely on a generic, undifferentiated approach to hedging.</w:t>
      </w:r>
    </w:p>
    <w:p>
      <w:pPr>
        <w:spacing w:line="480" w:lineRule="auto" w:before="0" w:after="0"/>
        <w:ind w:firstLine="720"/>
        <w:jc w:val="both"/>
      </w:pPr>
      <w:r>
        <w:rPr>
          <w:rFonts w:ascii="Georgia" w:hAnsi="Georgia" w:eastAsia="Georgia"/>
          <w:b w:val="0"/>
          <w:i w:val="0"/>
          <w:sz w:val="22"/>
        </w:rPr>
        <w:t xml:space="preserve">This study addresses that gap by mapping hedging patterns in undergraduate thesis abstracts from three disciplines at PSAU. Generally, it examines how epistemic stance is constructed through hedging patterns in undergraduate thesis abstracts across Agriculture, Veterinary Medicine, and Biology. Specifically, it aims to answer the following questions: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