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Unhedged sites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The test was run on raw counts rather than per-100-word rates; abstract lengths vary, so rate-based comparison would be preferable. Kruskal-Wallis also assumes independent observations; abstracts within a program may be clustered by adviser, so discipline is partly confounded with adviser pool. No post-hoc or planned contrast (Veterinary Medicine versus the other two) was performed, even though the narrative focus is the Veterinary Medicine contrast.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map frequency, function, and cross-disciplinary density. The contrasts below are exploratory descriptions of what was observed here, not stable discipline-level characteristics. As reported in Part II, the Kruskal-Wallis test reached p = .033 and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More consequential is the Null/NS concentration: Agriculture accounts for 14 of 21 Null/NS abstracts, against 2 of 20 in Veterinary Medicine. Those Agriculture Null/NS texts average about 1.5 hedges. Acs2 shows the pattern in concrete form—the writer reports that statistical significance was not observed, then hedges that the treatment could still offer potential benefits. That is hedging used to soften or rescue a non-significant result, the exact overclaiming risk the introduction identifies. One abstract cannot establish a rule, but the concentration of Null/NS outcomes in Agriculture and the explicit rescue framing in Acs2 form a clearer, more thematically central observation than the disciplinary density ranking alone.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As noted in Scope, the study cannot separate genuine field norms from adviser-enforced conventions; the findings describe the ratified abstracts, not individual cognition.</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disciplinary differentiation, mainly Veterinary Medicine’s lower density. Agriculture’s edge over Biology is modest and outlier-sensitive. More distinctive is the concentration of Null/NS outcomes in Agriculture (14 of 21) and the rescue-hedging pattern illustrated by Acs2, which links directly to the introduction’s concern with overclaiming. The data cannot separate field norms, adviser practice, and outcome type. Statistical evidence is exploratory (Kruskal-Wallis on raw counts p = .033, no post-hoc, no multiple-comparison correction) and the sample is small. The study provides a local baseline: VM abstracts in this corpus hedge less, and Agriculture shows a suggestive Null/NS–hedging link;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Null/NS concentration in Agriculture, the rescue-hedging pattern, and the lower Veterinary Medicine density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both"/>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