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b w:val="1"/>
          <w:bCs w:val="1"/>
          <w:rtl w:val="0"/>
        </w:rPr>
        <w:t xml:space="preserve">For writing instructors and thesis advisers at PSAU, </w:t>
      </w:r>
      <w:r>
        <w:rPr>
          <w:rFonts w:ascii="Georgia" w:hAnsi="Georgia" w:cs="Georgia" w:eastAsia="Georgia"/>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b w:val="1"/>
          <w:bCs w:val="1"/>
          <w:rtl w:val="0"/>
        </w:rPr>
        <w:t xml:space="preserve">For academic writing researchers, </w:t>
      </w:r>
      <w:r>
        <w:rPr>
          <w:rFonts w:ascii="Georgia" w:hAnsi="Georgia" w:cs="Georgia" w:eastAsia="Georgia"/>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b w:val="1"/>
          <w:bCs w:val="1"/>
          <w:rtl w:val="0"/>
        </w:rPr>
        <w:t xml:space="preserve">For the BAELS program, </w:t>
      </w:r>
      <w:r>
        <w:rPr>
          <w:rFonts w:ascii="Georgia" w:hAnsi="Georgia" w:cs="Georgia" w:eastAsia="Georgia"/>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b w:val="1"/>
          <w:bCs w:val="1"/>
          <w:rtl w:val="0"/>
        </w:rPr>
        <w:t xml:space="preserve">For future researchers, </w:t>
      </w:r>
      <w:r>
        <w:rPr>
          <w:rFonts w:ascii="Georgia" w:hAnsi="Georgia" w:cs="Georgia" w:eastAsia="Georgia"/>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 A related direction is noted under Recommendations: coding mitigation more broadly without the epistemic-only filter.</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an exploratory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i w:val="0"/>
          <w:iCs w:val="0"/>
          <w:sz w:val="22"/>
          <w:szCs w:val="22"/>
          <w:rtl w:val="0"/>
          <w:b/>
          <w:bCs/>
        </w:rPr>
        <w:t xml:space="preserve">e. Data Analysis. </w:t>
      </w:r>
      <w:r>
        <w:rPr>
          <w:rFonts w:ascii="Georgia" w:hAnsi="Georgia" w:cs="Georgia" w:eastAsia="Georgia"/>
          <w:i w:val="0"/>
          <w:iCs w:val="0"/>
          <w:sz w:val="22"/>
          <w:szCs w:val="22"/>
          <w:rtl w:val="0"/>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 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consists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pageBreakBefore/>
        <w:keepNext/>
        <w:keepLines/>
      </w:pPr>
      <w:r>
        <w:rPr>
          <w:rFonts w:ascii="Georgia" w:hAnsi="Georgia" w:cs="Georgia" w:eastAsia="Georgia"/>
          <w:sz w:val="22"/>
          <w:szCs w:val="22"/>
          <w:b/>
        </w:rPr>
        <w:t xml:space="preserve">Table 3</w:t>
      </w:r>
    </w:p>
    <w:p>
      <w:pPr>
        <w:spacing w:before="0" w:after="0" w:line="480" w:lineRule="auto"/>
        <w:jc w:val="center"/>
        <w:keepNext/>
        <w:keepLines/>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Layer 1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100.0%</w:t>
            </w:r>
          </w:p>
        </w:tc>
      </w:tr>
    </w:tbl>
    <w:p>
      <w:pPr>
        <w:spacing w:before="120" w:after="0" w:line="480" w:lineRule="auto"/>
        <w:ind w:firstLine="720"/>
      </w:pPr>
      <w:r>
        <w:rPr>
          <w:rFonts w:ascii="Georgia" w:hAnsi="Georgia" w:cs="Georgia" w:eastAsia="Georgia"/>
          <w:sz w:val="22"/>
          <w:szCs w:val="22"/>
        </w:rPr>
        <w:t>Table 3 lists every retained hedge form in the corpus with its Layer 1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5’s Unhedged sites column reports the corpus-wide total of 37.) These sites represent clauses where a hedge could have been inserted without changing the underlying facts, but no hedge was used. Layer 3 is included as a descriptive inventory of where hedging is absent in this corpus, not as a comparative claim against an expert or cross-discipline baseline. Without a matched comparison group, the counts document absence of overt hedges in specific claim environments. They do not measure underuse relative to a norm.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All 65 retained hedges were coded Epistemic Caution (EC). No Politeness/Deference (P) or Discourse Organization (DO) hedges were identified. Discourse connectors such as Hence, Thus, Therefore, and In conclusion appear in the corpus and are tagged (DO) in Appendix C but are not counted as hedges. Table 6 presents the function distribution.</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keepLines w:val="1"/>
        <w:spacing w:before="720" w:after="0" w:line="480" w:lineRule="auto"/>
        <w:jc w:val="center"/>
      </w:pPr>
      <w:r>
        <w:rPr>
          <w:rFonts w:ascii="Georgia" w:hAnsi="Georgia"/>
          <w:b/>
          <w:sz w:val="24"/>
        </w:rPr>
        <w:t>Table 6</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Most hedges fall in implication and conclusion sentences rather than in direct results reporting. Forms such as potential and suggest/suggests/suggesting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Parts I through III map frequency, function, and cross-disciplinary density. The contrasts below are exploratory descriptions of what was observed here, not stable discipline-level characteristics. As reported in Part II, the Kruskal-Wallis test on rates reached p = .025. Exploratory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is still worth noting on its own terms: the writer reports that statistical significance was not observed, then hedges that the treatment could still offer potential benefits, a rescue framing that matches the introduction’s concern with overclaiming. It cannot support a Null/NS-level claim.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As noted in Scope, 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Statistical evidence is exploratory (Kruskal-Wallis on rates p = .025, and pairwise Mann-Whitney tests with Bonferroni correction leave Biology–Veterinary Medicine as the surviving contrast)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and whether null write-ups invite different hedging choices, controlling for the entanglement of outcome type and discipline in this sample.</w:t>
      </w:r>
      <w:r>
        <w:rPr>
          <w:rtl w:val="0"/>
        </w:rPr>
      </w:r>
    </w:p>
    <w:p>
      <w:pPr>
        <w:spacing w:before="0" w:after="0" w:line="480" w:lineRule="auto"/>
        <w:ind w:firstLine="720"/>
        <w:jc w:val="both"/>
        <w:rPr/>
      </w:pPr>
      <w:r>
        <w:rPr>
          <w:rFonts w:ascii="Georgia" w:hAnsi="Georgia"/>
          <w:sz w:val="22"/>
          <w:szCs w:val="22"/>
        </w:rPr>
        <w:t xml:space="preserve">Future research could adopt a broader mitigation coding scheme to test for non-epistemic functions. The present study defined hedging as epistemic stance management, following Hyland (1998) and Salager-Meyer (1994), and applied the Working Test so that retained hedges are those that change the epistemic weight of a claim. Under that scheme, all retained hedges were coded Epistemic Caution. The uniform function assignment is therefore partly a methodological finding about the adapted screen, not a claim that Politeness or Discourse Organization never appear in developing-researcher writing. A future study could code mitigation more broadly, including devices that soften or qualify claims even when they do not pass a strict epistemic filter, and then classify epistemic, politeness, and discourse-organizing uses under that wider net. Such work would complement the present counts by testing whether interactional and textual mitigation appear in the abstract genre when the coding scheme is designed to capture them.</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Khunasathitchai, K., Sittironnarit, S., Sinturat, T., &amp; Kumdee, S. (2025). Move analysis and hedge use in the research paper abstracts of Thai EFL English-majored undergraduates. rEFLections, 32(2), 951–973. https://doi.org/10.61508/refl.v32i2.282512</w:t>
      </w:r>
      <w:r>
        <w:rPr>
          <w:rFonts w:ascii="Georgia" w:cs="Georgia" w:eastAsia="Georgia" w:hAnsi="Georgia"/>
          <w:b w:val="0"/>
          <w:bCs w:val="0"/>
          <w:i w:val="1"/>
          <w:iCs w:val="1"/>
          <w:sz w:val="22"/>
          <w:szCs w:val="22"/>
          <w:rtl w:val="0"/>
        </w:rPr>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rFonts w:ascii="Georgia" w:hAnsi="Georgia" w:cs="Georgia" w:eastAsia="Georgia"/>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hAnsi="Georgia" w:cs="Georgia" w:eastAsia="Georgia"/>
          <w:rtl w:val="0"/>
          <w:i/>
          <w:iCs/>
          <w:sz w:val="24"/>
          <w:szCs w:val="24"/>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hAnsi="Georgia" w:cs="Georgia" w:eastAsia="Georgia"/>
          <w:rtl w:val="0"/>
          <w:i/>
          <w:iCs/>
          <w:sz w:val="24"/>
          <w:szCs w:val="24"/>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hAnsi="Georgia" w:cs="Georgia" w:eastAsia="Georgia"/>
          <w:rtl w:val="0"/>
          <w:i/>
          <w:iCs/>
          <w:sz w:val="24"/>
          <w:szCs w:val="24"/>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hAnsi="Georgia" w:cs="Georgia" w:eastAsia="Georgia"/>
          <w:rtl w:val="0"/>
          <w:i/>
          <w:iCs/>
          <w:sz w:val="24"/>
          <w:szCs w:val="24"/>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hAnsi="Georgia" w:cs="Georgia" w:eastAsia="Georgia"/>
          <w:b w:val="0"/>
          <w:bCs w:val="0"/>
          <w:i w:val="0"/>
          <w:iCs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hAnsi="Georgia" w:cs="Georgia" w:eastAsia="Georgia"/>
          <w:b w:val="0"/>
          <w:bCs w:val="0"/>
          <w:i w:val="0"/>
          <w:iCs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[R]. This study is essential for getting insights into eco-brick manufacture because the workability of SUPs and UCOs as raw materials is proven. The research findings do not apply to buildings [G]. Therefore (DO), further research will (FP-Gen) aid in underlining the importance of optimizing the ingredient ratios to acquire desirable quality eco-bricks for sustainable construction applications.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00b0f0" w:val="clear"/>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[R]. There were variations in the mean antibody titer measured among samples.</w:t>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indicated (FP-Gen) that knowledge significantly predicted self-assessed awareness, while personal experience did not. The findings highlight critical knowledge gaps and underscore the need for targeted educational interventions using accessible media such as social platforms.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potential (EC) of butterfly pea flower aqueous extract in improving the survival of zebrafish at its larval stage.</w:t>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indicating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potential (EC) as effective, low-cost, and sustainable soil amendments for ornamental and horticultural cultivation, offering practical options for growers seeking eco-friendly methods to improve plant performance.</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