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 xml:space="preserve">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False positives are not a function label; they record candidates that fail both the Working Test and the Reader Test.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 xml:space="preserve">
        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Working Test for EC at Step 2.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
    </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 xml:space="preserve">In practice, the coding scheme was adapted from Hyland (1998) as the type instrument and operationalized through the decision rules in Appendix A. After a holistic reading of each abstract, coding followed three stages. Step 1 marked all possible hedge candidates (wide net). This step did not yet count retained hedges. Step 2 identified function with two paired removal checks scoped to knowledge claims. The Working Test asks whether removing the device changes commitment to the truth of a knowledge claim (a statement about findings, causes, interpretations, or what is the case). If it does, the token is retained as Epistemic Caution (EC). The Reader Test asks whether, on a knowledge claim, removing the device leaves truth-commitment the same but makes that claim more imposing, unattributed, or confrontational toward readers or prior work. If it does, the token is retained as Politeness/Deference (P). Advice, recommendations, and other directives about what should be done are not knowledge claims. They fail the Working Test and fall outside the Reader Test, so they are logged FP-Rec without needing a prior category filter. If neither test is met, the candidate is logged as a false positive (FP), not as a third function. Step 3 assigned grammatical type only to retained P and EC tokens. Decision-rule reason codes (FP-Rec, FP-Cap, FP-Proc, FP-Gen) label residual patterns in the inventory.</w:t>
      </w:r>
    </w:p>
    <w:p>
      <w:pPr>
        <w:spacing w:before="0" w:after="0" w:line="480" w:lineRule="auto"/>
        <w:ind w:firstLine="720"/>
        <w:jc w:val="both"/>
        <w:rPr/>
      </w:pPr>
      <w:r>
        <w:rPr>
          <w:rFonts w:ascii="Georgia" w:hAnsi="Georgia" w:cs="Georgia" w:eastAsia="Georgia"/>
          <w:i w:val="0"/>
          <w:sz w:val="22"/>
          <w:szCs w:val="22"/>
          <w:b w:val="0"/>
          <w:bCs w:val="0"/>
        </w:rPr>
        <w:t xml:space="preserve">The only function labels in this study are Epistemic Caution (EC) and Politeness/Deference (P). False positives are not a function. They are a residual record of candidates that meet neither removal check under the knowledge-claim scope of Step 2, including directives logged as FP-Rec. EC and P may co-occur on one retained token (EC+P) when both the Working Test and the Reader Test hold. Connectors and framing forms may appear in the Step 1 net. If neither test is met, they are recorded as FP, not as a third function. It is not a license to count every soft-sounding word. Critically, recommendations do not become P by sounding polite; the Reader Test applies only to knowledge claims.</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 xml:space="preserve">
        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Working Test for EC, Salager-Meyer (1994) is the Part IV claim-responsibility lens, and Hyland (2005) is the stance lens for implications. Figure 1 shows functions as Epistemic Caution and Politeness only; false positives are a residual coding record, not a function category in the figure.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
    </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 xml:space="preserve">
        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framing-only candidates can be compared across genres.
    </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 xml:space="preserve">
        The study also lacks a comparable expert-abstract corpus against which to compare the functional findings. Among retained hedges, no tokens were independently labeled Politeness (P = 0). That null is empirical and genre-linked, not built into Step 2: the Reader Test can retain pure P. Lead support is the Non-retained inventory scan of interpersonal candidates. False positives (n = 58) are category-coded rejects, not a third function. Genre compression in abstracts is a plausible account of why P items did not appear. Expert abstracts in the same three disciplines, coded with the same Step 1–3 coding scheme, would help separate genre effects from writer-competence effects.
    </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 xml:space="preserve">Epistemic Weight, conceptually, is the strength of the writer’s commitment to the truth of a proposition (how certain or tentative the claim is). Operationally, a change in epistemic weight on a knowledge claim supports an EC label under the Working Test at Step 2. The Reader Test at Step 2 applies only to knowledge claims: if truth-commitment stays the same but that claim becomes more imposing, unattributed, or confrontational toward readers or prior work, label P. Recommendations and other directives are outside the Reader Test and are not P. Neither check met yields FP, not a function.</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 xml:space="preserve">Hedge Function, conceptually, refers to the rhetorical purpose a hedging device serves in its discourse context. Operationally, this study uses two function labels only, adapted from Hyland’s (1998) discussion of hedging functions (not a fixed published taxonomy): Epistemic Caution (EC), which expresses reduced commitment to a claim’s truth or accuracy, and Politeness/Deference (P), which shows interpersonal softening toward readers or prior research. False positives are a residual coding record, not a function.</w:t>
      </w:r>
      <w:r>
        <w:rPr>
          <w:rFonts w:ascii="Georgia" w:hAnsi="Georgia" w:cs="Georgia" w:eastAsia="Georgia"/>
          <w:sz w:val="22"/>
          <w:b w:val="0"/>
          <w:bCs w:val="0"/>
        </w:rPr>
        <w:t xml:space="preserve"/>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 xml:space="preserve">Softening, conceptually, is the reduction of force, directness, imposition, or interpersonal impact in a statement. Operationally, Step 2 tracks softening only on knowledge claims (propositions about findings, causes, interpretations, or what is the case). Retained hedges are labeled EC and/or P only, by the Working Test and Reader Test at Step 2. FP is not a function label. Directives and recommendations (what should be done) are not knowledge claims: they fail the Working Test and fall outside the Reader Test, and are logged FP-Rec even if no prior category filter is applied.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
        d. Pilot Testing and Reliability Checking.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
    </w:t>
      </w:r>
      <w:r>
        <w:rPr>
          <w:rFonts w:ascii="Georgia" w:hAnsi="Georgia" w:cs="Georgia" w:eastAsia="Georgia"/>
          <w:sz w:val="22"/>
          <w:b w:val="0"/>
          <w:bCs w:val="0"/>
        </w:rPr>
        <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 xml:space="preserve">
        Alongside the 65 retained EC hedges (and P = 0), the corpus yielded 58 false positive tokens—hedge-like words rejected under Step 2 (Working Test + Reader Test). Table 6 places these totals side by side.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screen. Without that position-based rule, keyword matching alone would have counted many topic-naming uses of potential as hedges and inflated the total.
    </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
        Table 6 summarizes Step 2 outcomes for the coding pool. Of the retained hedges, all 65 were coded Epistemic Caution (EC). Politeness/Deference is null (P = 0). False positives totaled 58 (FP-Gen 33, FP-Rec 15, FP-Cap 8, FP-Proc 2). FP is not a function label; the 58 are category-coded rejects (excluded by FP-Gen/Rec/Cap/Proc rules and/or failed both removal checks). The direct comparison is therefore EC = 65, P = 0, FP = 58.
    </w:t>
      </w:r>
      <w:r>
        <w:rPr>
          <w:rFonts w:ascii="Georgia" w:hAnsi="Georgia" w:cs="Georgia" w:eastAsia="Georgia"/>
          <w:b w:val="0"/>
          <w:i w:val="0"/>
          <w:sz w:val="22"/>
          <w:color w:val="000000"/>
        </w:rPr>
        <w:t/>
      </w:r>
      <w:r>
        <w:rPr>
          <w:rFonts w:ascii="Georgia" w:hAnsi="Georgia" w:cs="Georgia" w:eastAsia="Georgia"/>
          <w:b w:val="0"/>
          <w:i w:val="0"/>
          <w:sz w:val="22"/>
        </w:rPr>
        <w:t xml:space="preserve"/>
      </w:r>
      <w:r>
        <w:rPr>
          <w:rFonts w:ascii="Georgia" w:hAnsi="Georgia" w:cs="Georgia" w:eastAsia="Georgia"/>
          <w:b w:val="0"/>
          <w:i w:val="0"/>
          <w:sz w:val="22"/>
          <w:color w:val="000000"/>
        </w:rPr>
        <w:t/>
      </w:r>
      <w:r>
        <w:rPr>
          <w:rFonts w:ascii="Georgia" w:hAnsi="Georgia" w:cs="Georgia" w:eastAsia="Georgia"/>
          <w:b w:val="0"/>
          <w:i w:val="0"/>
          <w:sz w:val="22"/>
        </w:rPr>
        <w:t xml:space="preserve"/>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 xml:space="preserve">Step 2 Outcomes: EC, P, and FP (Candidate Pool)</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Step 2 outcome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Note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 — retained</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Passed Working Test</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 — retained</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Null in this sample</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False positive (FP)</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Not retained; not a function</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 candidate decisions</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123</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Logged candidates only (65 retained + 58 FP), not every word in the corpus</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Under the Step 2 rule (Working Test + Reader Test), both checks apply only to knowledge claims. Only tokens that pass at least one check enter the retained hedge set. Candidates that fail both—including recommendations and other directives, which fall outside the Reader Test—are logged as false positives and do not count in the 65. P-only mitigation could in principle have been retained if the Reader Test held on a knowledge claim without a truth-commitment change. In this corpus no such P forms appeared (P = 0).</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 xml:space="preserve">
        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2. In this sample no P candidates entered the retained set. Framing and sequencing forms that failed both removal checks sit outside the retained set. They are not included in the 58 category-coded FPs (FP-Gen, FP-Rec, FP-Cap, FP-Proc). The data support a claim about the functional profile of the retained set, not a claim that writers never mitigate interpersonally outside that set.
    </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rPr>
        <w:t>Functions: EC = uncertainty about a claim’s truth. P = interpersonal softening/deference. FP = fails both tests (not a function).</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rPr>
        <w:t>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Steps 1–3: Step 1 wide-net candidates. Step 2 = Working Test + Reader Test → EC, P, or FP. Step 3 = type on retained P and EC only.</w:t>
      </w:r>
    </w:p>
    <w:p w:rsidR="00000000" w:rsidDel="00000000" w:rsidP="00000000" w:rsidRDefault="00000000" w:rsidRPr="00000000" w14:paraId="00000233">
      <w:pPr>
        <w:spacing w:before="60" w:after="0" w:line="288" w:lineRule="auto"/>
        <w:jc w:val="left"/>
        <w:rPr/>
      </w:pPr>
      <w:r>
        <w:rPr>
          <w:rFonts w:ascii="Georgia" w:hAnsi="Georgia" w:cs="Georgia" w:eastAsia="Georgia"/>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w:t>
            </w:r>
            <w:r>
              <w:rPr>
                <w:rFonts w:ascii="Georgia" w:cs="Georgia" w:eastAsia="Georgia" w:hAnsi="Georgia"/>
                <w:i w:val="0"/>
                <w:iCs w:val="0"/>
                <w:color w:val="000000"/>
                <w:sz w:val="18"/>
                <w:szCs w:val="18"/>
                <w:rtl w:val="0"/>
              </w:rPr>
              <w:t xml:space="preserve">  </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keepNext/>
      </w:pPr>
      <w:r>
        <w:rPr>
          <w:rFonts w:ascii="Georgia" w:hAnsi="Georgia" w:cs="Georgia" w:eastAsia="Georgia"/>
          <w:sz w:val="24"/>
          <w:szCs w:val="24"/>
          <w:rtl w:val="0"/>
          <w:b/>
          <w:bCs/>
        </w:rPr>
        <w:t>COMBINED EXAMPLE</w:t>
      </w:r>
      <w:r>
        <w:rPr>
          <w:rtl w:val="0"/>
          <w:sz w:val="24"/>
          <w:szCs w:val="24"/>
        </w:rPr>
      </w:r>
    </w:p>
    <w:p>
      <w:pPr>
        <w:spacing w:before="0" w:after="0" w:line="276" w:lineRule="auto"/>
        <w:keepNext/>
      </w:pPr>
      <w:r>
        <w:rPr>
          <w:rFonts w:ascii="Georgia" w:hAnsi="Georgia"/>
          <w:sz w:val="20"/>
          <w:szCs w:val="20"/>
        </w:rPr>
        <w:t xml:space="preserve">“The results suggested (Lexical, EC) that extracts are potential (Lexical, EC) alternative stains. As prior studies indicated (Lexical, P), PCR can (FP-Cap) also detect low concentrations. Farmers should (FP-Rec) adopt the treatment. In conclusion, T3 produced the highest yield (FP framing). The treatment may (Modal, EC) reduce infection rates.”</w:t>
      </w:r>
      <w:r>
        <w:rPr>
          <w:rFonts w:ascii="Georgia" w:hAnsi="Georgia"/>
          <w:sz w:val="20"/>
          <w:szCs w:val="20"/>
          <w:highlight w:val="red"/>
          <w:color w:val="ffffff"/>
        </w:rPr>
        <w:t xml:space="preserve"/>
      </w:r>
      <w:r>
        <w:rPr>
          <w:rFonts w:ascii="Georgia" w:hAnsi="Georgia"/>
          <w:sz w:val="20"/>
          <w:szCs w:val="20"/>
          <w:color w:val="ed7d31"/>
        </w:rPr>
        <w:t xml:space="preserve"/>
      </w:r>
      <w:r>
        <w:rPr>
          <w:rFonts w:ascii="Georgia" w:hAnsi="Georgia"/>
          <w:sz w:val="20"/>
          <w:szCs w:val="20"/>
        </w:rPr>
        <w:t xml:space="preserve"/>
      </w:r>
      <w:r>
        <w:rPr>
          <w:rFonts w:ascii="Georgia" w:hAnsi="Georgia"/>
          <w:sz w:val="20"/>
          <w:szCs w:val="20"/>
          <w:highlight w:val="red"/>
          <w:color w:val="ffffff"/>
        </w:rPr>
        <w:t xml:space="preserve"/>
      </w:r>
      <w:r>
        <w:rPr>
          <w:rFonts w:ascii="Georgia" w:hAnsi="Georgia"/>
          <w:sz w:val="20"/>
          <w:szCs w:val="20"/>
          <w:color w:val="ed7d31"/>
        </w:rPr>
        <w:t xml:space="preserve"/>
      </w:r>
      <w:r>
        <w:rPr>
          <w:rFonts w:ascii="Georgia" w:hAnsi="Georgia"/>
          <w:sz w:val="20"/>
          <w:szCs w:val="20"/>
        </w:rPr>
        <w:t xml:space="preserve"/>
      </w:r>
      <w:r>
        <w:rPr>
          <w:rFonts w:ascii="Georgia" w:hAnsi="Georgia"/>
          <w:sz w:val="20"/>
          <w:szCs w:val="20"/>
          <w:strike/>
        </w:rPr>
        <w:t xml:space="preserve"/>
      </w:r>
      <w:r>
        <w:rPr>
          <w:rFonts w:ascii="Georgia" w:hAnsi="Georgia"/>
          <w:sz w:val="20"/>
          <w:szCs w:val="20"/>
          <w:color w:val="808080"/>
        </w:rPr>
        <w:t xml:space="preserve"/>
      </w:r>
      <w:r>
        <w:rPr>
          <w:rFonts w:ascii="Georgia" w:hAnsi="Georgia"/>
          <w:sz w:val="20"/>
          <w:szCs w:val="20"/>
        </w:rPr>
        <w:t xml:space="preserve"/>
      </w:r>
    </w:p>
    <w:p>
      <w:pPr>
        <w:spacing w:before="0" w:after="0" w:line="276" w:lineRule="auto"/>
      </w:pPr>
      <w:r>
        <w:rPr>
          <w:rFonts w:ascii="Georgia" w:hAnsi="Georgia"/>
          <w:sz w:val="20"/>
          <w:szCs w:val="20"/>
          <w:color w:val="404040"/>
        </w:rPr>
        <w:t xml:space="preserve">Shows: Lexical+Modal types; EC and P functions; FP-Cap, FP-Rec, and framing FP. Type = highlight on the token; function = colored label (EC/P); FP = strike + reason code. Not every abstract will contain P; the P slot is illustrated for coding practice.</w:t>
      </w:r>
    </w:p>
    <w:p w:rsidR="00000000" w:rsidDel="00000000" w:rsidP="00000000" w:rsidRDefault="00000000" w:rsidRPr="00000000" w14:paraId="00000245">
      <w:pPr>
        <w:spacing w:before="0" w:after="6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12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rPr>
        <w:t xml:space="preserve">
        • Step 1 (wide net). After the holistic read, mark all possible hedge candidates. This step does not count retained hedges.
    </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Step 2 (function by paired removal checks). For each candidate, identify the host proposition, then remove the device and ask what changes. Working Test: the host must be a knowledge claim (a statement about findings, causes, interpretations, or what is the case). If removing the device increases commitment to the truth of that claim → retain as EC. Reader Test: apply only to knowledge claims. If removing the device leaves truth-commitment the same, but makes that knowledge claim more imposing, unattributed, or confrontational toward readers or prior work → retain as P. Advice, recommendations, and other directives about what should be done are not knowledge claims. They fail the Working Test (no truth-commitment about a finding is at stake) and they are outside the Reader Test (they do not become P by sounding soft). Log them as FP-Rec. Neither test met → not a hedge; log as FP (not a function). Both may hold on one token (EC+P).</w:t>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rPr>
        <w:t xml:space="preserve">• Working Test and Reader Test are the Step 2 function gate. They are sufficient without a prior category filter: recommendations and other directives still fail both tests under the knowledge-claim scope above and are logged FP-Rec. Category codes (FP-Rec, FP-Cap, FP-Proc, FP-Gen topic-naming) label common residual patterns for the inventory. They do not replace the tests. FP = failed both checks (including directives that fall outside the knowledge-claim Reader Test).</w:t>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rPr>
        <w:t xml:space="preserve">• Step 3 (type). On retained P and EC tokens only, assign grammatical type (modal, lexical, adverbial, clause-level).</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rPr>
        <w:t xml:space="preserve">• Order. Coding order: full abstract → Step 1 → Step 2 (Working Test + Reader Test) → Decision Rules (reason codes) → Step 3 type on retained P and EC → Coder Notes. Deontic advice and recommendations fail Step 2 under the knowledge-claim scope and are logged FP-Rec; they need not be filtered out before the tests.</w:t>
      </w:r>
    </w:p>
    <w:p w:rsidR="00000000" w:rsidDel="00000000" w:rsidP="00000000" w:rsidRDefault="00000000" w:rsidRPr="00000000" w14:paraId="00000083">
      <w:pPr>
        <w:spacing w:before="40" w:after="14" w:line="360" w:lineRule="auto"/>
        <w:jc w:val="left"/>
        <w:rPr/>
      </w:pPr>
      <w:r>
        <w:rPr>
          <w:rFonts w:ascii="Georgia" w:hAnsi="Georgia" w:cs="Georgia" w:eastAsia="Georgia"/>
          <w:sz w:val="22"/>
          <w:szCs w:val="22"/>
          <w:rtl w:val="0"/>
          <w:b/>
          <w:bCs w:val="0"/>
        </w:rPr>
        <w:t xml:space="preserve">
        WORKING EXAMPLES: STEP 2 (WORKING TEST + READER TEST) AND STEP 3 TYPE
    </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Function labels apply to retained hedges after Step 2. Step 2 mitigates knowledge claims about findings, not advice. Working Test supports EC when certainty about a claim changes. Reader Test supports P only when a knowledge claim becomes more imposing or less attributed toward readers or prior work.</w:t>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 EC (Working Test): “The treatment may reduce infection rates.” Removing may raises truth-commitment → EC.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P (Reader Test): “As suggested by previous researchers, the treatment is effective.” Host is a knowledge claim. Removing the attribution leaves truth-commitment intact but makes the claim more unattributed toward prior work → P. By contrast, “Farmers should adopt the treatment” is a directive, not a knowledge claim → outside Reader Test (FP-Rec), even though it imposes on readers.</w:t>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 P + EC: Both Working Test and Reader Test hold on one token → EC+P (or dominant label plus dual note in Coder Notes).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 FP: “In conclusion, T3 produced the highest yield.” Removing the frame changes neither truth-commitment nor interpersonal imposition toward readers/prior work → FP. Not a function label.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 Frame + separate EC: “It should be noted that the results may indicate growth.” Code may via Working Test as EC. The frame alone fails both tests and is not a second hedge.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rPr>
        <w:t xml:space="preserve">• Summary: Step 1 is wide. Step 2 assigns function with the Working Test (EC) and Reader Test (P), both scoped to knowledge claims. Directives fail both and are FP-Rec. Neither test met → FP (not a function). Step 3 assigns type to retained hedges only. In this corpus all 65 retained tokens were EC. No P forms appeared. FP cases are inventoried separately with reason codes.</w:t>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FP</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(not a function)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Fails Working Test and Reader Test</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“In conclusion, T3 produced the highest yield.”</w:t>
            </w:r>
            <w:r>
              <w:rPr>
                <w:rFonts w:ascii="Georgia" w:cs="Georgia" w:eastAsia="Georgia" w:hAnsi="Georgia"/>
                <w:b w:val="1"/>
                <w:bCs w:val="1"/>
                <w:strike w:val="0"/>
                <w:color w:val="ffffff"/>
                <w:sz w:val="18"/>
                <w:szCs w:val="18"/>
                <w:shd w:fill="00b050" w:val="clear"/>
                <w:rtl w:val="0"/>
              </w:rPr>
              <w:t xml:space="preserve"/>
            </w:r>
            <w:r>
              <w:rPr>
                <w:rFonts w:ascii="Georgia" w:cs="Georgia" w:eastAsia="Georgia" w:hAnsi="Georgia"/>
                <w:b w:val="0"/>
                <w:bCs w:val="0"/>
                <w:i w:val="0"/>
                <w:iCs w:val="0"/>
                <w:color w:val="000000"/>
                <w:sz w:val="18"/>
                <w:szCs w:val="18"/>
                <w:rtl w:val="0"/>
              </w:rPr>
              <w:t xml:space="preserve"/>
            </w:r>
            <w:r>
              <w:rPr>
                <w:rFonts w:ascii="Georgia" w:cs="Georgia" w:eastAsia="Georgia" w:hAnsi="Georgia"/>
                <w:b w:val="1"/>
                <w:bCs w:val="1"/>
                <w:i w:val="0"/>
                <w:iCs w:val="0"/>
                <w:sz w:val="18"/>
                <w:szCs w:val="18"/>
                <w:rtl w:val="0"/>
                <w:color w:val="8B4513"/>
              </w:rPr>
              <w:t xml:space="preserve"/>
            </w:r>
            <w:r>
              <w:rPr>
                <w:rFonts w:ascii="Georgia" w:cs="Georgia" w:eastAsia="Georgia" w:hAnsi="Georgia"/>
                <w:b w:val="0"/>
                <w:bCs w:val="0"/>
                <w:i w:val="0"/>
                <w:iCs w:val="0"/>
                <w:color w:val="000000"/>
                <w:sz w:val="18"/>
                <w:szCs w:val="18"/>
                <w:rtl w:val="0"/>
              </w:rPr>
              <w:t xml:space="preserve"/>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Category codes label residual patterns after Step 2. The Working Test and Reader Test already exclude directives and other non-claims under the knowledge-claim scope. Use the table below when assigning an FP reason code.</w:t>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56" w:lineRule="auto"/>
        <w:jc w:val="center"/>
        <w:rPr/>
      </w:pPr>
      <w:r>
        <w:rPr>
          <w:rFonts w:ascii="Georgia" w:cs="Georgia" w:eastAsia="Georgia" w:hAnsi="Georgia"/>
          <w:b w:val="1"/>
          <w:bCs w:val="1"/>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56"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56"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56"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56"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56"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56"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56"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56"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56"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56"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56"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56"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56"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56"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56"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56"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center"/>
        <w:rPr/>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
        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not a function). Unhedged assertions = grey highlight + [G]/[C] bracket (warranted-but-absent caution only).
    </w:t>
      </w:r>
      <w:r>
        <w:rPr>
          <w:rFonts w:ascii="Georgia" w:hAnsi="Georgia" w:cs="Georgia" w:eastAsia="Georgia"/>
          <w:b w:val="0"/>
          <w:i w:val="0"/>
          <w:sz w:val="22"/>
          <w:color w:val="000000"/>
        </w:rPr>
        <w:t/>
      </w:r>
      <w:r>
        <w:rPr>
          <w:rFonts w:ascii="Georgia" w:hAnsi="Georgia" w:cs="Georgia" w:eastAsia="Georgia"/>
          <w:b w:val="0"/>
          <w:i w:val="0"/>
          <w:sz w:val="22"/>
        </w:rPr>
        <w:t xml:space="preserve"/>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headerReference r:id="rId9" w:type="default"/>
      <w:headerReference r:id="rId10" w:type="first"/>
      <w:type w:val="nextPage"/>
      <w:pgSz w:h="16838" w:w="11906" w:orient="portrait"/>
      <w:pgMar w:bottom="1440" w:top="1440" w:left="2160" w:right="144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