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2"/>
          <w:szCs w:val="22"/>
        </w:rPr>
        <w:t>Table 4</w:t>
      </w:r>
    </w:p>
    <w:p>
      <w:pPr>
        <w:keepNext w:val="1"/>
        <w:spacing w:before="0" w:after="60" w:line="480" w:lineRule="auto"/>
        <w:jc w:val="center"/>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b w:val="0"/>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b/>
          <w:bCs w:val="1"/>
          <w:sz w:val="22"/>
          <w:szCs w:val="22"/>
          <w:rtl w:val="0"/>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b w:val="0"/>
          <w:bCs w:val="0"/>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b/>
          <w:bCs w:val="1"/>
          <w:sz w:val="22"/>
          <w:szCs w:val="22"/>
          <w:rtl w:val="0"/>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b w:val="0"/>
          <w:bCs w:val="0"/>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b w:val="0"/>
          <w:bCs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b w:val="0"/>
          <w:bCs w:val="0"/>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b w:val="0"/>
          <w:bCs w:val="0"/>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b/>
          <w:bCs w:val="1"/>
          <w:sz w:val="22"/>
          <w:szCs w:val="22"/>
          <w:rtl w:val="0"/>
        </w:rPr>
        <w:t xml:space="preserve">Functions: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b/>
          <w:bCs w:val="1"/>
          <w:sz w:val="22"/>
          <w:szCs w:val="22"/>
          <w:rtl w:val="0"/>
        </w:rPr>
        <w:t xml:space="preserve">Core rules: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rPr>
        <w:t xml:space="preserve">Steps 1–3: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b/>
          <w:bCs w:val="1"/>
          <w:i w:val="0"/>
          <w:iCs w:val="0"/>
          <w:sz w:val="24"/>
          <w:szCs w:val="24"/>
          <w:rtl w:val="0"/>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b w:val="0"/>
          <w:bCs w:val="0"/>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b/>
          <w:bCs w:val="1"/>
          <w:i w:val="0"/>
          <w:iCs w:val="0"/>
          <w:sz w:val="24"/>
          <w:szCs w:val="24"/>
          <w:rtl w:val="0"/>
        </w:rPr>
        <w:t>COMBINED EXAMPLE</w:t>
      </w:r>
      <w:r>
        <w:rPr>
          <w:rtl w:val="0"/>
          <w:sz w:val="24"/>
          <w:szCs w:val="24"/>
        </w:rPr>
      </w:r>
    </w:p>
    <w:p w:rsidR="00000000" w:rsidDel="00000000" w:rsidP="00000000" w:rsidRDefault="00000000" w:rsidRPr="00000000" w14:paraId="00000244">
      <w:pPr>
        <w:spacing w:before="0" w:after="0" w:line="288" w:lineRule="auto"/>
        <w:ind w:firstLine="720"/>
        <w:jc w:val="both"/>
        <w:rPr/>
      </w:pPr>
      <w:r>
        <w:rPr>
          <w:rFonts w:ascii="Georgia" w:hAnsi="Georgia" w:cs="Georgia" w:eastAsia="Georgia"/>
          <w:b w:val="0"/>
          <w:bCs w:val="0"/>
          <w:i w:val="1"/>
          <w:iCs w:val="1"/>
          <w:color w:val="000000"/>
          <w:sz w:val="22"/>
          <w:szCs w:val="22"/>
          <w:rtl w:val="0"/>
        </w:rPr>
        <w:t xml:space="preserve">“The results suggested (EC) that extracts are potential (EC) alternative stains. PCR can (FP-Cap) also detect low concentrations.” Type color = type; (EC) orange; FP struck.</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b w:val="0"/>
          <w:i w:val="1"/>
          <w:iCs w:val="1"/>
          <w:color w:val="404040"/>
          <w:sz w:val="22"/>
          <w:rtl w:val="0"/>
          <w:szCs w:val="22"/>
        </w:rPr>
        <w:t>• Full rules in Full Codebook (from next page).</w:t>
      </w:r>
      <w:r>
        <w:rPr>
          <w:rFonts w:ascii="Georgia" w:cs="Georgia" w:eastAsia="Georgia" w:hAnsi="Georgia"/>
          <w:b w:val="0"/>
          <w:bCs w:val="0"/>
          <w:i w:val="1"/>
          <w:iCs w:val="1"/>
          <w:color w:val="404040"/>
          <w:sz w:val="22"/>
          <w:szCs w:val="22"/>
          <w:rtl w:val="0"/>
        </w:rPr>
      </w:r>
      <w:r>
        <w:rPr>
          <w:rtl w:val="0"/>
          <w:sz w:val="22"/>
          <w:szCs w:val="22"/>
        </w:rPr>
      </w:r>
    </w:p>
    <w:p w:rsidR="00000000" w:rsidDel="00000000" w:rsidP="00000000" w:rsidRDefault="00000000" w:rsidRPr="00000000" w14:paraId="000001B4">
      <w:pPr>
        <w:spacing w:before="48" w:after="20" w:line="276" w:lineRule="auto"/>
        <w:jc w:val="left"/>
        <w:rPr/>
      </w:pPr>
      <w:r>
        <w:rPr>
          <w:sz w:val="24"/>
          <w:szCs w:val="24"/>
        </w:rPr>
        <w:br w:type="page"/>
      </w:r>
      <w:r>
        <w:rPr>
          <w:rFonts w:ascii="Georgia" w:hAnsi="Georgia" w:cs="Georgia" w:eastAsia="Georgia"/>
          <w:b/>
          <w:bCs w:val="1"/>
          <w:sz w:val="24"/>
          <w:szCs w:val="24"/>
          <w:rtl w:val="0"/>
        </w:rPr>
        <w:t>FULL CODEBOOK</w:t>
      </w:r>
      <w:r>
        <w:rPr>
          <w:rtl w:val="0"/>
          <w:sz w:val="24"/>
          <w:szCs w:val="24"/>
        </w:rPr>
      </w:r>
    </w:p>
    <w:p w:rsidR="00000000" w:rsidDel="00000000" w:rsidP="00000000" w:rsidRDefault="00000000" w:rsidRPr="00000000" w14:paraId="000001B5">
      <w:pPr>
        <w:spacing w:before="48" w:after="20" w:line="276" w:lineRule="auto"/>
        <w:jc w:val="left"/>
        <w:rPr/>
      </w:pPr>
      <w:r>
        <w:rPr>
          <w:rFonts w:ascii="Georgia" w:hAnsi="Georgia" w:cs="Georgia" w:eastAsia="Georgia"/>
          <w:b/>
          <w:bCs w:val="1"/>
          <w:i w:val="0"/>
          <w:iCs w:val="0"/>
          <w:sz w:val="24"/>
          <w:szCs w:val="24"/>
          <w:rtl w:val="0"/>
        </w:rPr>
        <w:t>PURPOSE</w:t>
      </w:r>
      <w:r>
        <w:rPr>
          <w:rtl w:val="0"/>
          <w:sz w:val="24"/>
          <w:szCs w:val="24"/>
        </w:rPr>
      </w:r>
    </w:p>
    <w:p w:rsidR="00000000" w:rsidDel="00000000" w:rsidP="00000000" w:rsidRDefault="00000000" w:rsidRPr="00000000" w14:paraId="000001B6">
      <w:pPr>
        <w:spacing w:before="0" w:after="40" w:line="276" w:lineRule="auto"/>
        <w:ind w:left="360" w:hanging="360"/>
        <w:jc w:val="both"/>
        <w:rPr/>
      </w:pPr>
      <w:r>
        <w:rPr>
          <w:rFonts w:ascii="Georgia" w:hAnsi="Georgia" w:cs="Georgia" w:eastAsia="Georgia"/>
          <w:b w:val="0"/>
          <w:bCs w:val="0"/>
          <w:sz w:val="22"/>
          <w:szCs w:val="22"/>
          <w:rtl w:val="0"/>
        </w:rPr>
        <w:t>• Coding scheme for the PSAU undergraduate thesis abstract corpus, adapted from Hyland (1998) as type instrument.</w:t>
      </w:r>
      <w:r>
        <w:rPr>
          <w:rtl w:val="0"/>
          <w:sz w:val="22"/>
          <w:szCs w:val="22"/>
        </w:rPr>
      </w:r>
    </w:p>
    <w:p w:rsidR="00000000" w:rsidDel="00000000" w:rsidP="00000000" w:rsidRDefault="00000000" w:rsidRPr="00000000" w14:paraId="000001B8">
      <w:pPr>
        <w:spacing w:before="0" w:after="40" w:line="276"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40" w:line="276" w:lineRule="auto"/>
        <w:ind w:left="360" w:hanging="360"/>
        <w:jc w:val="both"/>
        <w:rPr/>
      </w:pPr>
      <w:r>
        <w:rPr>
          <w:rFonts w:ascii="Georgia" w:hAnsi="Georgia" w:cs="Georgia" w:eastAsia="Georgia"/>
          <w:i w:val="0"/>
          <w:iCs w:val="0"/>
          <w:color w:val="000000"/>
          <w:sz w:val="22"/>
          <w:szCs w:val="22"/>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2"/>
          <w:szCs w:val="22"/>
          <w:rtl w:val="0"/>
          <w:b w:val="0"/>
          <w:bCs w:val="0"/>
        </w:rPr>
        <w:t>• Step 2 (retained hedge). Keep as a retained hedge only if removing the expression makes a knowledge claim more categorical or more direct, or softens how that claim is put forward.</w:t>
      </w:r>
      <w:r>
        <w:rPr>
          <w:rtl w:val="0"/>
          <w:sz w:val="22"/>
          <w:szCs w:val="22"/>
        </w:rPr>
      </w:r>
    </w:p>
    <w:p w:rsidR="00000000" w:rsidDel="00000000" w:rsidP="00000000" w:rsidRDefault="00000000" w:rsidRPr="00000000" w14:paraId="000001BA">
      <w:pPr>
        <w:spacing w:before="0" w:after="40" w:line="276" w:lineRule="auto"/>
        <w:ind w:left="360" w:hanging="360"/>
        <w:jc w:val="both"/>
        <w:rPr/>
      </w:pPr>
      <w:r>
        <w:rPr>
          <w:rFonts w:ascii="Georgia" w:hAnsi="Georgia" w:cs="Georgia" w:eastAsia="Georgia"/>
          <w:i w:val="0"/>
          <w:iCs w:val="0"/>
          <w:sz w:val="22"/>
          <w:szCs w:val="22"/>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2"/>
          <w:szCs w:val="22"/>
        </w:rPr>
      </w:r>
    </w:p>
    <w:p w:rsidR="00000000" w:rsidDel="00000000" w:rsidP="00000000" w:rsidRDefault="00000000" w:rsidRPr="00000000" w14:paraId="000001BB">
      <w:pPr>
        <w:spacing w:before="0" w:after="40" w:line="276" w:lineRule="auto"/>
        <w:ind w:left="360" w:hanging="360"/>
        <w:jc w:val="both"/>
        <w:rPr/>
      </w:pPr>
      <w:r>
        <w:rPr>
          <w:rFonts w:ascii="Georgia" w:hAnsi="Georgia" w:cs="Georgia" w:eastAsia="Georgia"/>
          <w:i w:val="0"/>
          <w:iCs w:val="0"/>
          <w:color w:val="000000"/>
          <w:sz w:val="22"/>
          <w:szCs w:val="22"/>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sz w:val="22"/>
          <w:szCs w:val="22"/>
        </w:rPr>
      </w:r>
    </w:p>
    <w:p w:rsidR="00000000" w:rsidDel="00000000" w:rsidP="00000000" w:rsidRDefault="00000000" w:rsidRPr="00000000" w14:paraId="000001BC">
      <w:pPr>
        <w:spacing w:before="0" w:after="40" w:line="276" w:lineRule="auto"/>
        <w:ind w:left="360" w:hanging="360"/>
        <w:jc w:val="both"/>
        <w:rPr/>
      </w:pPr>
      <w:r>
        <w:rPr>
          <w:rFonts w:ascii="Georgia" w:hAnsi="Georgia" w:cs="Georgia" w:eastAsia="Georgia"/>
          <w:i w:val="0"/>
          <w:iCs w:val="0"/>
          <w:sz w:val="22"/>
          <w:szCs w:val="22"/>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2"/>
          <w:szCs w:val="22"/>
        </w:rPr>
      </w:r>
    </w:p>
    <w:p w:rsidR="00000000" w:rsidDel="00000000" w:rsidP="00000000" w:rsidRDefault="00000000" w:rsidRPr="00000000" w14:paraId="00000083">
      <w:pPr>
        <w:spacing w:before="48" w:after="20" w:line="276" w:lineRule="auto"/>
        <w:jc w:val="left"/>
        <w:rPr/>
      </w:pPr>
      <w:r>
        <w:rPr>
          <w:rFonts w:ascii="Georgia" w:hAnsi="Georgia" w:cs="Georgia" w:eastAsia="Georgia"/>
          <w:i w:val="0"/>
          <w:iCs w:val="0"/>
          <w:sz w:val="24"/>
          <w:szCs w:val="24"/>
          <w:rtl w:val="0"/>
          <w:b/>
          <w:bCs w:val="0"/>
        </w:rPr>
        <w:t>WORKING EXAMPLES: STEP 2 SORT AND STEP 3 FUNCTION (EC, P, DO)</w:t>
      </w:r>
      <w:r>
        <w:rPr>
          <w:rtl w:val="0"/>
          <w:b w:val="1"/>
          <w:sz w:val="24"/>
          <w:szCs w:val="24"/>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2"/>
          <w:szCs w:val="22"/>
          <w:rtl w:val="0"/>
          <w:b w:val="0"/>
          <w:bCs w:val="0"/>
        </w:rPr>
        <w:t>• Function labels apply to retained hedges after Step 2. Step 2 = claim mitigation for findings, not advice. Working Test supports EC when certainty changes.</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Step 2 may retain if interpersonal softening of a claim is present. EC Working Test fails if certainty is unchanged → function P.</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b w:val="0"/>
          <w:bCs w:val="0"/>
          <w:i w:val="0"/>
          <w:iCs w:val="0"/>
          <w:sz w:val="22"/>
          <w:szCs w:val="22"/>
          <w:rtl w:val="0"/>
        </w:rPr>
        <w:t>• P + EC: Step 2 retains as a hedge and Working Test also passes → dominant function from context (or dual note in Coder Notes).</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2"/>
          <w:szCs w:val="22"/>
          <w:rtl w:val="0"/>
          <w:b w:val="0"/>
          <w:bCs w:val="0"/>
        </w:rPr>
        <w:t>• Pure DO: “In conclusion, T3 produced the highest yield.” Candidate may be tagged. Step 2 = pure DO log (findings framing only). Not a retained hedge. Appendix C may still show (DO) for visibility.</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2"/>
          <w:szCs w:val="22"/>
          <w:rtl w:val="0"/>
          <w:b w:val="0"/>
          <w:bCs w:val="0"/>
        </w:rPr>
        <w:t>• DO frame + separate hedge: “It should be noted that the results may indicate growth.” Code may as retained hedge (EC). The frame alone is not a second hedge count.</w:t>
      </w:r>
      <w:r>
        <w:rPr>
          <w:rtl w:val="0"/>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2"/>
          <w:szCs w:val="22"/>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2"/>
          <w:szCs w:val="22"/>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47">
      <w:pPr>
        <w:spacing w:before="48" w:after="20" w:line="276" w:lineRule="auto"/>
        <w:jc w:val="left"/>
        <w:rPr/>
      </w:pPr>
      <w:r>
        <w:rPr>
          <w:rFonts w:ascii="Georgia" w:hAnsi="Georgia" w:cs="Georgia" w:eastAsia="Georgia"/>
          <w:b/>
          <w:bCs w:val="1"/>
          <w:i w:val="0"/>
          <w:iCs w:val="0"/>
          <w:sz w:val="24"/>
          <w:szCs w:val="24"/>
          <w:rtl w:val="0"/>
        </w:rPr>
        <w:t>CODING SHEET COLUMNS</w:t>
      </w:r>
      <w:r>
        <w:rPr>
          <w:rtl w:val="0"/>
          <w:sz w:val="24"/>
          <w:szCs w:val="24"/>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0" w:line="360" w:lineRule="auto"/>
        <w:ind w:firstLine="720"/>
        <w:jc w:val="both"/>
        <w:rPr/>
      </w:pPr>
      <w:r>
        <w:rPr>
          <w:rFonts w:ascii="Georgia" w:hAnsi="Georgia" w:cs="Georgia" w:eastAsia="Georgia"/>
          <w:b w:val="0"/>
          <w:bCs w:val="0"/>
          <w:i w:val="0"/>
          <w:iCs w:val="0"/>
          <w:sz w:val="22"/>
          <w:szCs w:val="22"/>
          <w:rtl w:val="0"/>
        </w:rPr>
        <w:t>• Highlighted abstract = primary record. Spreadsheet = tallying and analysis only.</w:t>
      </w:r>
      <w:r>
        <w:rPr>
          <w:rtl w:val="0"/>
          <w:sz w:val="22"/>
          <w:szCs w:val="22"/>
        </w:rPr>
      </w:r>
    </w:p>
    <w:p w:rsidR="00000000" w:rsidDel="00000000" w:rsidP="00000000" w:rsidRDefault="00000000" w:rsidRPr="00000000" w14:paraId="0000025A">
      <w:pPr>
        <w:spacing w:before="0" w:after="0" w:line="360" w:lineRule="auto"/>
        <w:ind w:firstLine="720"/>
        <w:jc w:val="both"/>
        <w:rPr/>
      </w:pPr>
      <w:r>
        <w:rPr>
          <w:rFonts w:ascii="Georgia" w:hAnsi="Georgia" w:cs="Georgia" w:eastAsia="Georgia"/>
          <w:b w:val="0"/>
          <w:bCs w:val="0"/>
          <w:i w:val="1"/>
          <w:iCs w:val="1"/>
          <w:color w:val="000000"/>
          <w:sz w:val="22"/>
          <w:szCs w:val="22"/>
          <w:rtl w:val="0"/>
        </w:rPr>
        <w:t>• Codes: Acs1–Acs10, Aas1–Aas10 (Agriculture). VM1–VM20. B1–B20 (Biology).</w:t>
      </w:r>
      <w:r>
        <w:rPr>
          <w:rtl w:val="0"/>
          <w:sz w:val="22"/>
          <w:szCs w:val="22"/>
        </w:rPr>
      </w:r>
    </w:p>
    <w:p w:rsidR="00000000" w:rsidDel="00000000" w:rsidP="00000000" w:rsidRDefault="00000000" w:rsidRPr="00000000" w14:paraId="0000025D">
      <w:pPr>
        <w:spacing w:before="0" w:after="0" w:line="360" w:lineRule="auto"/>
        <w:ind w:firstLine="720"/>
        <w:jc w:val="both"/>
        <w:rPr/>
      </w:pPr>
      <w:r>
        <w:rPr>
          <w:rFonts w:ascii="Georgia" w:hAnsi="Georgia" w:cs="Georgia" w:eastAsia="Georgia"/>
          <w:b w:val="0"/>
          <w:bCs w:val="0"/>
          <w:i w:val="1"/>
          <w:iCs w:val="1"/>
          <w:color w:val="000000"/>
          <w:sz w:val="22"/>
          <w:szCs w:val="22"/>
          <w:rtl w:val="0"/>
        </w:rPr>
        <w:t>• Unhedged rows separate from hedge tallies. [G]/[C] only for warranted-but-absent caution.</w:t>
      </w:r>
      <w:r>
        <w:rPr>
          <w:rtl w:val="0"/>
          <w:sz w:val="22"/>
          <w:szCs w:val="22"/>
        </w:rPr>
      </w:r>
    </w:p>
    <w:p w:rsidR="00000000" w:rsidDel="00000000" w:rsidP="00000000" w:rsidRDefault="00000000" w:rsidRPr="00000000" w14:paraId="0000026C">
      <w:pPr>
        <w:spacing w:before="0" w:after="0" w:line="360" w:lineRule="auto"/>
        <w:jc w:val="left"/>
        <w:rPr/>
      </w:pPr>
      <w:r>
        <w:rPr>
          <w:rFonts w:ascii="Georgia" w:hAnsi="Georgia" w:cs="Georgia" w:eastAsia="Georgia"/>
          <w:b w:val="0"/>
          <w:bCs w:val="0"/>
          <w:i w:val="1"/>
          <w:iCs w:val="1"/>
          <w:sz w:val="22"/>
          <w:szCs w:val="22"/>
          <w:rtl w:val="0"/>
        </w:rPr>
        <w:t>• Optional Rejected Candidates tab for FP traceability.</w:t>
      </w:r>
      <w:r>
        <w:rPr>
          <w:rtl w:val="0"/>
          <w:sz w:val="22"/>
          <w:szCs w:val="22"/>
        </w:rPr>
      </w:r>
    </w:p>
    <w:p>
      <w:pPr>
        <w:spacing w:line="276" w:lineRule="auto" w:before="0" w:after="40"/>
      </w:pPr>
      <w:r>
        <w:rPr>
          <w:sz w:val="22"/>
          <w:szCs w:val="22"/>
        </w:rPr>
        <w:br w:type="page"/>
      </w:r>
    </w:p>
    <w:p w:rsidR="00000000" w:rsidDel="00000000" w:rsidP="00000000" w:rsidRDefault="00000000" w:rsidRPr="00000000" w14:paraId="0000027B">
      <w:pPr>
        <w:spacing w:before="120" w:after="0" w:line="480"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