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Epistemic Weight, </w:t>
      </w:r>
      <w:r>
        <w:rPr>
          <w:rFonts w:ascii="Georgia" w:cs="Georgia" w:eastAsia="Georgia" w:hAnsi="Georgia"/>
          <w:b w:val="0"/>
          <w:bCs w:val="0"/>
          <w:i w:val="0"/>
          <w:iCs w:val="0"/>
          <w:sz w:val="22"/>
          <w:szCs w:val="22"/>
          <w:rtl w:val="0"/>
        </w:rPr>
        <w:t xml:space="preserve">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Softening, </w:t>
      </w:r>
      <w:r>
        <w:rPr>
          <w:rFonts w:ascii="Georgia" w:cs="Georgia" w:eastAsia="Georgia" w:hAnsi="Georgia"/>
          <w:b w:val="0"/>
          <w:bCs w:val="0"/>
          <w:i w:val="0"/>
          <w:iCs w:val="0"/>
          <w:sz w:val="22"/>
          <w:szCs w:val="22"/>
          <w:rtl w:val="0"/>
        </w:rPr>
        <w:t xml:space="preserve">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keepLines/>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keepLines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40" w:after="20" w:line="252" w:lineRule="auto"/>
        <w:jc w:val="left"/>
        <w:rPr/>
      </w:pPr>
      <w:r>
        <w:rPr>
          <w:rFonts w:ascii="Georgia" w:cs="Georgia" w:eastAsia="Georgia" w:hAnsi="Georgia"/>
          <w:b w:val="1"/>
          <w:bCs w:val="1"/>
          <w:sz w:val="20"/>
          <w:szCs w:val="20"/>
          <w:rtl w:val="0"/>
        </w:rPr>
        <w:t xml:space="preserve">APPENDIX A: HEDGING CODEBOOK</w:t>
      </w:r>
      <w:r>
        <w:rPr>
          <w:rtl w:val="0"/>
          <w:sz w:val="20"/>
          <w:szCs w:val="20"/>
        </w:rPr>
      </w:r>
    </w:p>
    <w:p w:rsidR="00000000" w:rsidDel="00000000" w:rsidP="00000000" w:rsidRDefault="00000000" w:rsidRPr="00000000" w14:paraId="000001A0">
      <w:pPr>
        <w:spacing w:before="0" w:after="0" w:line="252" w:lineRule="auto"/>
        <w:jc w:val="both"/>
        <w:rPr/>
      </w:pPr>
      <w:r>
        <w:rPr>
          <w:rFonts w:ascii="Georgia" w:hAnsi="Georgia" w:cs="Georgia" w:eastAsia="Georgia"/>
          <w:sz w:val="20"/>
          <w:szCs w:val="20"/>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40" w:after="20" w:line="252" w:lineRule="auto"/>
        <w:ind w:firstLine="720"/>
        <w:jc w:val="left"/>
        <w:rPr/>
      </w:pPr>
      <w:r>
        <w:rPr>
          <w:rFonts w:ascii="Georgia" w:cs="Georgia" w:eastAsia="Georgia" w:hAnsi="Georgia"/>
          <w:b w:val="1"/>
          <w:bCs w:val="1"/>
          <w:sz w:val="20"/>
          <w:szCs w:val="20"/>
          <w:rtl w:val="0"/>
        </w:rPr>
        <w:t xml:space="preserve">QUICK-REFERENCE</w:t>
      </w:r>
      <w:r>
        <w:rPr>
          <w:rtl w:val="0"/>
          <w:sz w:val="20"/>
          <w:szCs w:val="20"/>
        </w:rPr>
      </w:r>
    </w:p>
    <w:p w:rsidR="00000000" w:rsidDel="00000000" w:rsidP="00000000" w:rsidRDefault="00000000" w:rsidRPr="00000000" w14:paraId="000001A3">
      <w:pPr>
        <w:spacing w:before="0" w:after="0" w:line="252" w:lineRule="auto"/>
        <w:jc w:val="both"/>
        <w:rPr/>
      </w:pPr>
      <w:r>
        <w:rPr>
          <w:rFonts w:ascii="Georgia" w:cs="Georgia" w:eastAsia="Georgia" w:hAnsi="Georgia"/>
          <w:b w:val="0"/>
          <w:bCs w:val="0"/>
          <w:sz w:val="20"/>
          <w:szCs w:val="20"/>
          <w:rtl w:val="0"/>
        </w:rPr>
        <w:t xml:space="preserve">Coding is context-sensitive. A word is a hedge only when it functions as one in the sentence, not because it appears on a list.</w:t>
      </w:r>
      <w:r>
        <w:rPr>
          <w:rtl w:val="0"/>
          <w:sz w:val="20"/>
          <w:szCs w:val="20"/>
        </w:rPr>
      </w:r>
    </w:p>
    <w:p w:rsidR="00000000" w:rsidDel="00000000" w:rsidP="00000000" w:rsidRDefault="00000000" w:rsidRPr="00000000" w14:paraId="000001A4">
      <w:pPr>
        <w:keepNext w:val="1"/>
        <w:spacing w:before="20" w:after="0" w:line="252" w:lineRule="auto"/>
        <w:jc w:val="left"/>
        <w:rPr/>
      </w:pPr>
      <w:r>
        <w:rPr>
          <w:rFonts w:ascii="Georgia" w:cs="Georgia" w:eastAsia="Georgia" w:hAnsi="Georgia"/>
          <w:b w:val="1"/>
          <w:bCs w:val="1"/>
          <w:sz w:val="20"/>
          <w:szCs w:val="20"/>
          <w:rtl w:val="0"/>
        </w:rPr>
        <w:t xml:space="preserve">Hedge types</w:t>
      </w:r>
      <w:r>
        <w:rPr>
          <w:rtl w:val="0"/>
          <w:sz w:val="20"/>
          <w:szCs w:val="20"/>
        </w:rPr>
      </w:r>
    </w:p>
    <w:p w:rsidR="00000000" w:rsidDel="00000000" w:rsidP="00000000" w:rsidRDefault="00000000" w:rsidRPr="00000000" w14:paraId="000001A5">
      <w:pPr>
        <w:spacing w:before="0" w:after="0" w:line="252" w:lineRule="auto"/>
        <w:ind w:left="240" w:firstLine="0"/>
        <w:jc w:val="both"/>
        <w:rPr/>
      </w:pPr>
      <w:r>
        <w:rPr>
          <w:rFonts w:ascii="Georgia" w:cs="Georgia" w:eastAsia="Georgia" w:hAnsi="Georgia"/>
          <w:b w:val="0"/>
          <w:bCs w:val="0"/>
          <w:sz w:val="20"/>
          <w:szCs w:val="20"/>
          <w:rtl w:val="0"/>
        </w:rPr>
        <w:t xml:space="preserve">1. Modal verbs: may, might, could, would, should, can (when they mark possibility, not capability or obligation).</w:t>
      </w:r>
      <w:r>
        <w:rPr>
          <w:rtl w:val="0"/>
          <w:sz w:val="20"/>
          <w:szCs w:val="20"/>
        </w:rPr>
      </w:r>
    </w:p>
    <w:p w:rsidR="00000000" w:rsidDel="00000000" w:rsidP="00000000" w:rsidRDefault="00000000" w:rsidRPr="00000000" w14:paraId="000001A6">
      <w:pPr>
        <w:spacing w:before="0" w:after="0" w:line="252" w:lineRule="auto"/>
        <w:ind w:left="240" w:firstLine="0"/>
        <w:jc w:val="both"/>
        <w:rPr/>
      </w:pPr>
      <w:r>
        <w:rPr>
          <w:rFonts w:ascii="Georgia" w:cs="Georgia" w:eastAsia="Georgia" w:hAnsi="Georgia"/>
          <w:b w:val="0"/>
          <w:bCs w:val="0"/>
          <w:sz w:val="20"/>
          <w:szCs w:val="20"/>
          <w:rtl w:val="0"/>
        </w:rPr>
        <w:t xml:space="preserve">2. Lexical hedges: suggest, indicate, appear, seem, propose, assume, possible, probable, likely, potential (and similar epistemic adjectives or nouns) when they qualify the force or certainty of a claim and pass Stage 1.</w:t>
      </w:r>
      <w:r>
        <w:rPr>
          <w:rtl w:val="0"/>
          <w:sz w:val="20"/>
          <w:szCs w:val="20"/>
        </w:rPr>
      </w:r>
    </w:p>
    <w:p w:rsidR="00000000" w:rsidDel="00000000" w:rsidP="00000000" w:rsidRDefault="00000000" w:rsidRPr="00000000" w14:paraId="000001A7">
      <w:pPr>
        <w:spacing w:before="0" w:after="0" w:line="252" w:lineRule="auto"/>
        <w:ind w:left="240" w:firstLine="0"/>
        <w:jc w:val="both"/>
        <w:rPr/>
      </w:pPr>
      <w:r>
        <w:rPr>
          <w:rFonts w:ascii="Georgia" w:cs="Georgia" w:eastAsia="Georgia" w:hAnsi="Georgia"/>
          <w:b w:val="0"/>
          <w:bCs w:val="0"/>
          <w:sz w:val="20"/>
          <w:szCs w:val="20"/>
          <w:rtl w:val="0"/>
        </w:rPr>
        <w:t xml:space="preserve">3. Adverbial hedges: generally, typically, possibly, probably, relatively, essentially (when they qualify scope or certainty, not procedural routine).</w:t>
      </w:r>
      <w:r>
        <w:rPr>
          <w:rtl w:val="0"/>
          <w:sz w:val="20"/>
          <w:szCs w:val="20"/>
        </w:rPr>
      </w:r>
    </w:p>
    <w:p w:rsidR="00000000" w:rsidDel="00000000" w:rsidP="00000000" w:rsidRDefault="00000000" w:rsidRPr="00000000" w14:paraId="000001A8">
      <w:pPr>
        <w:spacing w:before="0" w:after="0" w:line="252" w:lineRule="auto"/>
        <w:ind w:left="240" w:firstLine="0"/>
        <w:jc w:val="both"/>
        <w:rPr/>
      </w:pPr>
      <w:r>
        <w:rPr>
          <w:rFonts w:ascii="Georgia" w:cs="Georgia" w:eastAsia="Georgia" w:hAnsi="Georgia"/>
          <w:b w:val="0"/>
          <w:bCs w:val="0"/>
          <w:sz w:val="20"/>
          <w:szCs w:val="20"/>
          <w:rtl w:val="0"/>
        </w:rPr>
        <w:t xml:space="preserve">4. Clause-level hedges: it seems that, it is possible that, to some extent, in our view.</w:t>
      </w:r>
      <w:r>
        <w:rPr>
          <w:rtl w:val="0"/>
          <w:sz w:val="20"/>
          <w:szCs w:val="20"/>
        </w:rPr>
      </w:r>
    </w:p>
    <w:p w:rsidR="00000000" w:rsidDel="00000000" w:rsidP="00000000" w:rsidRDefault="00000000" w:rsidRPr="00000000" w14:paraId="000001A9">
      <w:pPr>
        <w:keepNext w:val="1"/>
        <w:spacing w:before="20" w:after="0" w:line="252" w:lineRule="auto"/>
        <w:ind w:firstLine="720"/>
        <w:jc w:val="left"/>
        <w:rPr/>
      </w:pPr>
      <w:r>
        <w:rPr>
          <w:rFonts w:ascii="Georgia" w:cs="Georgia" w:eastAsia="Georgia" w:hAnsi="Georgia"/>
          <w:b w:val="1"/>
          <w:bCs w:val="1"/>
          <w:sz w:val="20"/>
          <w:szCs w:val="20"/>
          <w:rtl w:val="0"/>
        </w:rPr>
        <w:t xml:space="preserve">Hedge functions</w:t>
      </w:r>
      <w:r>
        <w:rPr>
          <w:rtl w:val="0"/>
          <w:sz w:val="20"/>
          <w:szCs w:val="20"/>
        </w:rPr>
      </w:r>
    </w:p>
    <w:p w:rsidR="00000000" w:rsidDel="00000000" w:rsidP="00000000" w:rsidRDefault="00000000" w:rsidRPr="00000000" w14:paraId="000001AA">
      <w:pPr>
        <w:spacing w:before="0" w:after="0" w:line="252" w:lineRule="auto"/>
        <w:ind w:left="240" w:firstLine="720"/>
        <w:jc w:val="both"/>
        <w:rPr/>
      </w:pPr>
      <w:r>
        <w:rPr>
          <w:rFonts w:ascii="Georgia" w:cs="Georgia" w:eastAsia="Georgia" w:hAnsi="Georgia"/>
          <w:b w:val="0"/>
          <w:bCs w:val="0"/>
          <w:sz w:val="20"/>
          <w:szCs w:val="20"/>
          <w:rtl w:val="0"/>
        </w:rPr>
        <w:t xml:space="preserve">Epistemic Caution: marks uncertainty about whether a claim is true (e.g., The treatment may reduce infection rates).</w:t>
      </w:r>
      <w:r>
        <w:rPr>
          <w:rtl w:val="0"/>
          <w:sz w:val="20"/>
          <w:szCs w:val="20"/>
        </w:rPr>
      </w:r>
    </w:p>
    <w:p w:rsidR="00000000" w:rsidDel="00000000" w:rsidP="00000000" w:rsidRDefault="00000000" w:rsidRPr="00000000" w14:paraId="000001AB">
      <w:pPr>
        <w:spacing w:before="0" w:after="0" w:line="252" w:lineRule="auto"/>
        <w:ind w:left="240" w:firstLine="720"/>
        <w:jc w:val="both"/>
        <w:rPr/>
      </w:pPr>
      <w:r>
        <w:rPr>
          <w:rFonts w:ascii="Georgia" w:cs="Georgia" w:eastAsia="Georgia" w:hAnsi="Georgia"/>
          <w:b w:val="0"/>
          <w:bCs w:val="0"/>
          <w:sz w:val="20"/>
          <w:szCs w:val="20"/>
          <w:rtl w:val="0"/>
        </w:rPr>
        <w:t xml:space="preserve">Politeness / Deference: softens face threat or shows respect rather than genuine doubt (e.g., As suggested by Hyland…).</w:t>
      </w:r>
      <w:r>
        <w:rPr>
          <w:rtl w:val="0"/>
          <w:sz w:val="20"/>
          <w:szCs w:val="20"/>
        </w:rPr>
      </w:r>
    </w:p>
    <w:p w:rsidR="00000000" w:rsidDel="00000000" w:rsidP="00000000" w:rsidRDefault="00000000" w:rsidRPr="00000000" w14:paraId="000001AC">
      <w:pPr>
        <w:spacing w:before="0" w:after="0" w:line="252" w:lineRule="auto"/>
        <w:ind w:left="240" w:firstLine="0"/>
        <w:jc w:val="both"/>
        <w:rPr/>
      </w:pPr>
      <w:r>
        <w:rPr>
          <w:rFonts w:ascii="Georgia" w:cs="Georgia" w:eastAsia="Georgia" w:hAnsi="Georgia"/>
          <w:b w:val="0"/>
          <w:bCs w:val="0"/>
          <w:sz w:val="20"/>
          <w:szCs w:val="20"/>
          <w:rtl w:val="0"/>
        </w:rPr>
        <w:t xml:space="preserve">Discourse Organization: manages text structure or reader expectations rather than stance (e.g., It should be noted that…).</w:t>
      </w:r>
      <w:r>
        <w:rPr>
          <w:rtl w:val="0"/>
          <w:sz w:val="20"/>
          <w:szCs w:val="20"/>
        </w:rPr>
      </w:r>
    </w:p>
    <w:p w:rsidR="00000000" w:rsidDel="00000000" w:rsidP="00000000" w:rsidRDefault="00000000" w:rsidRPr="00000000" w14:paraId="000001AD">
      <w:pPr>
        <w:keepNext w:val="1"/>
        <w:spacing w:before="20" w:after="0" w:line="252" w:lineRule="auto"/>
        <w:ind w:firstLine="720"/>
        <w:jc w:val="left"/>
        <w:rPr/>
      </w:pPr>
      <w:r>
        <w:rPr>
          <w:rFonts w:ascii="Georgia" w:cs="Georgia" w:eastAsia="Georgia" w:hAnsi="Georgia"/>
          <w:b w:val="1"/>
          <w:bCs w:val="1"/>
          <w:sz w:val="20"/>
          <w:szCs w:val="20"/>
          <w:rtl w:val="0"/>
        </w:rPr>
        <w:t xml:space="preserve">Core decision rules</w:t>
      </w:r>
      <w:r>
        <w:rPr>
          <w:rtl w:val="0"/>
          <w:sz w:val="20"/>
          <w:szCs w:val="20"/>
        </w:rPr>
      </w:r>
    </w:p>
    <w:p w:rsidR="00000000" w:rsidDel="00000000" w:rsidP="00000000" w:rsidRDefault="00000000" w:rsidRPr="00000000" w14:paraId="000001AE">
      <w:pPr>
        <w:spacing w:before="0" w:after="0" w:line="252" w:lineRule="auto"/>
        <w:ind w:left="240" w:firstLine="720"/>
        <w:jc w:val="both"/>
        <w:rPr/>
      </w:pPr>
      <w:r>
        <w:rPr>
          <w:rFonts w:ascii="Georgia" w:hAnsi="Georgia" w:cs="Georgia" w:eastAsia="Georgia"/>
          <w:rtl w:val="0"/>
          <w:i/>
          <w:iCs/>
          <w:sz w:val="20"/>
          <w:szCs w:val="20"/>
        </w:rPr>
        <w:t xml:space="preserve">suggest / indicate becomes hedge when introducing a finding. Not a hedge when introducing a recommendation.</w:t>
      </w:r>
      <w:r>
        <w:rPr>
          <w:rtl w:val="0"/>
          <w:rFonts w:ascii="Georgia" w:hAnsi="Georgia"/>
          <w:sz w:val="20"/>
          <w:szCs w:val="20"/>
          <w:i/>
          <w:iCs/>
        </w:rPr>
      </w:r>
    </w:p>
    <w:p w:rsidR="00000000" w:rsidDel="00000000" w:rsidP="00000000" w:rsidRDefault="00000000" w:rsidRPr="00000000" w14:paraId="000001AF">
      <w:pPr>
        <w:spacing w:before="0" w:after="0" w:line="252" w:lineRule="auto"/>
        <w:ind w:left="240" w:firstLine="720"/>
        <w:jc w:val="both"/>
        <w:rPr/>
      </w:pPr>
      <w:r>
        <w:rPr>
          <w:rFonts w:ascii="Georgia" w:hAnsi="Georgia" w:cs="Georgia" w:eastAsia="Georgia"/>
          <w:rtl w:val="0"/>
          <w:i/>
          <w:iCs/>
          <w:sz w:val="20"/>
          <w:szCs w:val="20"/>
        </w:rPr>
        <w:t xml:space="preserve">can / may becomes hedge when marking possibility. Not a hedge when marking capability.</w:t>
      </w:r>
      <w:r>
        <w:rPr>
          <w:rtl w:val="0"/>
          <w:rFonts w:ascii="Georgia" w:hAnsi="Georgia"/>
          <w:sz w:val="20"/>
          <w:szCs w:val="20"/>
          <w:i/>
          <w:iCs/>
        </w:rPr>
      </w:r>
    </w:p>
    <w:p w:rsidR="00000000" w:rsidDel="00000000" w:rsidP="00000000" w:rsidRDefault="00000000" w:rsidRPr="00000000" w14:paraId="000001B0">
      <w:pPr>
        <w:spacing w:before="0" w:after="0" w:line="252" w:lineRule="auto"/>
        <w:ind w:left="240" w:firstLine="720"/>
        <w:jc w:val="both"/>
        <w:rPr/>
      </w:pPr>
      <w:r>
        <w:rPr>
          <w:rFonts w:ascii="Georgia" w:hAnsi="Georgia" w:cs="Georgia" w:eastAsia="Georgia"/>
          <w:rtl w:val="0"/>
          <w:i/>
          <w:iCs/>
          <w:sz w:val="20"/>
          <w:szCs w:val="20"/>
        </w:rPr>
        <w:t xml:space="preserve">generally / typically becomes hedge when limiting the scope of a claim. Not a hedge when describing a procedural norm.</w:t>
      </w:r>
      <w:r>
        <w:rPr>
          <w:rtl w:val="0"/>
          <w:rFonts w:ascii="Georgia" w:hAnsi="Georgia"/>
          <w:sz w:val="20"/>
          <w:szCs w:val="20"/>
          <w:i/>
          <w:iCs/>
        </w:rPr>
      </w:r>
    </w:p>
    <w:p w:rsidR="00000000" w:rsidDel="00000000" w:rsidP="00000000" w:rsidRDefault="00000000" w:rsidRPr="00000000" w14:paraId="000001B1">
      <w:pPr>
        <w:spacing w:before="0" w:after="0" w:line="252" w:lineRule="auto"/>
        <w:ind w:left="240" w:firstLine="0"/>
        <w:jc w:val="both"/>
        <w:rPr/>
      </w:pPr>
      <w:r>
        <w:rPr>
          <w:rFonts w:ascii="Georgia" w:hAnsi="Georgia" w:cs="Georgia" w:eastAsia="Georgia"/>
          <w:rtl w:val="0"/>
          <w:i/>
          <w:iCs/>
          <w:sz w:val="20"/>
          <w:szCs w:val="20"/>
        </w:rPr>
        <w:t xml:space="preserve">appear / seem becomes hedge when expressing uncertainty about a result. Not a hedge when pointing to location in a table or text.</w:t>
      </w:r>
      <w:r>
        <w:rPr>
          <w:rtl w:val="0"/>
          <w:rFonts w:ascii="Georgia" w:hAnsi="Georgia"/>
          <w:sz w:val="20"/>
          <w:szCs w:val="20"/>
          <w:i/>
          <w:iCs/>
        </w:rPr>
      </w:r>
    </w:p>
    <w:p w:rsidR="00000000" w:rsidDel="00000000" w:rsidP="00000000" w:rsidRDefault="00000000" w:rsidRPr="00000000" w14:paraId="000001B2">
      <w:pPr>
        <w:keepNext w:val="1"/>
        <w:spacing w:before="20" w:after="0" w:line="252" w:lineRule="auto"/>
        <w:ind w:firstLine="720"/>
        <w:jc w:val="left"/>
        <w:rPr/>
      </w:pPr>
      <w:r>
        <w:rPr>
          <w:rFonts w:ascii="Georgia" w:cs="Georgia" w:eastAsia="Georgia" w:hAnsi="Georgia"/>
          <w:b w:val="1"/>
          <w:bCs w:val="1"/>
          <w:sz w:val="20"/>
          <w:szCs w:val="20"/>
          <w:rtl w:val="0"/>
        </w:rPr>
        <w:t xml:space="preserve">Exclusion and Working Test</w:t>
      </w:r>
      <w:r>
        <w:rPr>
          <w:rtl w:val="0"/>
          <w:sz w:val="20"/>
          <w:szCs w:val="20"/>
        </w:rPr>
      </w:r>
    </w:p>
    <w:p w:rsidR="00000000" w:rsidDel="00000000" w:rsidP="00000000" w:rsidRDefault="00000000" w:rsidRPr="00000000" w14:paraId="000001B3">
      <w:pPr>
        <w:spacing w:before="0" w:after="0" w:line="252" w:lineRule="auto"/>
        <w:jc w:val="both"/>
        <w:rPr/>
      </w:pPr>
      <w:r>
        <w:rPr>
          <w:rFonts w:ascii="Georgia" w:cs="Georgia" w:eastAsia="Georgia" w:hAnsi="Georgia"/>
          <w:b w:val="0"/>
          <w:bCs w:val="0"/>
          <w:sz w:val="20"/>
          <w:szCs w:val="20"/>
          <w:rtl w:val="0"/>
        </w:rPr>
        <w:t xml:space="preserve">Ability, future procedure, and necessity (must / should in procedural contexts) are never hedges. Stage 1: retain if removing the device makes a knowledge claim more categorical or more direct, or reduces imposition in how that claim is put forward (not directives). Working Test: used at Stage 2 to support EC when commitment to the proposition changes. Worked examples appear under Working Examples in the full codebook below.</w:t>
      </w:r>
      <w:r>
        <w:rPr>
          <w:rtl w:val="0"/>
          <w:sz w:val="20"/>
          <w:szCs w:val="20"/>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a knowledge claim about findings more categorical or more direct in context, or reduces interpersonal imposition in how that claim is put forward. The gate is inclusive of epistemic, politeness, and discourse-managing mitigation of claims. It does not admit deontic directives (recommendations, obligations), capability statements, pure procedure, pure move sequencing, or topic-naming without force reduction on a claim.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Deontic language (obligation/recommendation) is never retained at Stage 1,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Function labels (EC, P, DO) are applied after Stage 1 retention. Stage 1 asks whether removing the expression makes a knowledge claim more categorical or more direct, or softens imposition on that claim (not a directive). The Working Test asks whether commitment to the proposition’s truth changes; it supports EC labeling and does not by itself bar P or DO. The examples below separate retention from function.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Politeness / Deference (P), Stage 1 pass possible. “As suggested by previous researchers, the treatment is effective.” Removing As suggested by previous researchers makes the claim more direct and less deferential. Stage 1: pass (reduced imposition). Working Test for EC: fail (certainty unchanged). Stage 2: P, not EC. Count as a hedge/mitigation device with function P.</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Both P and EC (Stage 1 pass; Stage 2 EC with P co-occurring). “We would suggest that the treatment may be less effective than earlier reports claimed.” Removing would suggest / may makes the criticism more categorical and more imposing. Stage 1: pass. Working Test for EC: pass. Stage 2: EC primary, P co-occurring (deference and softened disagreement).</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Discourse Organization (DO), Stage 1 pass when framing uptake. “It should be noted that the treatment increased plant height.” Removing It should be noted that removes reader guidance and can make the point land more bluntly. Stage 1: pass if the phrase frames how the claim is taken. Working Test for EC: fail. Stage 2: DO. Pure sequence markers (Thus, Therefore, Hence, In conclusion) that only order moves still fail Stage 1 and are not counted.</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 Full corpus pass under this Stage 1 rule: recommendation/deontic forms (FP-Rec), capability (FP-Cap), procedural norms (FP-Proc), topic-naming and factive restatement (FP-Gen), pure sequence connectives (Hence/Thus/Therefore/In conclusion as move markers), and framing adverbs such as Overall remained excluded. No politeness/deference forms were present in the 60 abstracts. No additional tokens were promoted into the retained set; n=65 and all-EC function counts are unchanged.</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60" w:after="4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6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