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sz w:val="28"/>
          <w:szCs w:val="28"/>
          <w:rtl w:val="0"/>
        </w:rPr>
        <w:t xml:space="preserve">INTRODUCTION</w:t>
      </w:r>
      <w:r>
        <w:rPr>
          <w:rtl w:val="0"/>
          <w:sz w:val="28"/>
          <w:szCs w:val="28"/>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2"/>
          <w:szCs w:val="22"/>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sz w:val="24"/>
          <w:szCs w:val="24"/>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2"/>
          <w:szCs w:val="22"/>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2"/>
          <w:szCs w:val="22"/>
          <w:i/>
          <w:iCs/>
        </w:rPr>
        <w:t xml:space="preserve">dapat</w:t>
      </w:r>
      <w:r>
        <w:rPr>
          <w:rFonts w:ascii="Georgia" w:hAnsi="Georgia" w:cs="Georgia" w:eastAsia="Georgia"/>
          <w:sz w:val="22"/>
          <w:szCs w:val="22"/>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2"/>
          <w:szCs w:val="22"/>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sz w:val="24"/>
          <w:szCs w:val="24"/>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sz w:val="24"/>
          <w:szCs w:val="24"/>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2"/>
          <w:szCs w:val="22"/>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sz w:val="24"/>
          <w:szCs w:val="24"/>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2"/>
          <w:szCs w:val="22"/>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sz w:val="24"/>
          <w:szCs w:val="24"/>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2"/>
          <w:szCs w:val="22"/>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2"/>
          <w:szCs w:val="22"/>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sz w:val="24"/>
          <w:szCs w:val="24"/>
          <w:rtl w:val="0"/>
        </w:rPr>
        <w:t xml:space="preserve">STATEMENT OF THE PROBLEM</w:t>
      </w:r>
      <w:r>
        <w:rPr>
          <w:rtl w:val="0"/>
          <w:sz w:val="24"/>
          <w:szCs w:val="24"/>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Fonts w:ascii="Georgia" w:hAnsi="Georgia" w:cs="Georgia" w:eastAsia="Georgia"/>
          <w:rtl w:val="0"/>
          <w:sz w:val="22"/>
          <w:szCs w:val="22"/>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sz w:val="24"/>
          <w:szCs w:val="24"/>
          <w:rtl w:val="0"/>
        </w:rPr>
        <w:t xml:space="preserve">RESEARCH FRAMEWORK</w:t>
      </w:r>
      <w:r>
        <w:rPr>
          <w:rtl w:val="0"/>
          <w:sz w:val="24"/>
          <w:szCs w:val="24"/>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 xml:space="preserve">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False positives are not a function label; they record candidates that fail both the Working Test and the Reader Test.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 xml:space="preserve">
        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Working Test for EC at Step 2.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
    </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 xml:space="preserve">In practice, the coding scheme was adapted from Hyland (1998) as the type instrument and operationalized through the decision rules in Appendix A. After a holistic reading of each abstract, coding followed three stages. Step 1 marked all possible hedge candidates (wide net). This step did not yet count retained hedges. Step 2 identified function with a claim condition and two paired removal checks. Claim condition: a device can only be a hedge if it attaches to a claim—a statement about data, the world, or prior work that evidence could show to be wrong. Aims, directives, and routine procedure are excluded by kind. Non-claims are logged FP. Working Test: remove the device. If the writer’s commitment to the claim’s truth goes up → EC. Reader Test: remove the device. If commitment to the truth stays the same, but the claim reaches the reader more bluntly or the writer takes sole ownership of it against prior work → P. Neither check met → FP (not a function). There is no required category pre-filter before Step 2. Step 3 assigned grammatical type only to retained P and EC tokens. Reason codes (FP-Rec, FP-Cap, FP-Proc, FP-Gen) label residual rejects in the inventory.</w:t>
      </w:r>
    </w:p>
    <w:p>
      <w:pPr>
        <w:spacing w:before="0" w:after="0" w:line="480" w:lineRule="auto"/>
        <w:ind w:firstLine="720"/>
        <w:jc w:val="both"/>
        <w:rPr/>
      </w:pPr>
      <w:r>
        <w:rPr>
          <w:rFonts w:ascii="Georgia" w:hAnsi="Georgia" w:cs="Georgia" w:eastAsia="Georgia"/>
          <w:i w:val="0"/>
          <w:sz w:val="22"/>
          <w:szCs w:val="22"/>
          <w:b w:val="0"/>
          <w:bCs w:val="0"/>
        </w:rPr>
        <w:t xml:space="preserve">The only function labels in this study are Epistemic Caution (EC) and Politeness/Deference (P). False positives are not a function. They are a residual record of candidates that fail the claim condition or meet neither removal check at Step 2. EC and P may co-occur on one retained token (EC+P) when both the Working Test and the Reader Test hold. Connectors, framing forms, directives, and aim statements may appear in the Step 1 net. If the claim condition fails or neither test is met, they are recorded as FP, not as a third function. It is not a license to count every soft-sounding word. Recommendations do not become P by sounding polite: they fail the claim condition.</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 xml:space="preserve">
        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Working Test for EC, Salager-Meyer (1994) is the Part IV claim-responsibility lens, and Hyland (2005) is the stance lens for implications. Figure 1 shows functions as Epistemic Caution and Politeness only; false positives are a residual coding record, not a function category in the figure.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
    </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4"/>
          <w:szCs w:val="24"/>
          <w:rtl w:val="0"/>
        </w:rPr>
        <w:t xml:space="preserve">Conceptual Framework of the Study</w:t>
      </w:r>
      <w:r>
        <w:rPr>
          <w:rtl w:val="0"/>
          <w:sz w:val="24"/>
          <w:szCs w:val="24"/>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sz w:val="24"/>
          <w:szCs w:val="24"/>
          <w:rtl w:val="0"/>
        </w:rPr>
        <w:t xml:space="preserve">SIGNIFICANCE OF THE STUDY</w:t>
      </w:r>
      <w:r>
        <w:rPr>
          <w:rtl w:val="0"/>
          <w:sz w:val="24"/>
          <w:szCs w:val="24"/>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sz w:val="24"/>
          <w:szCs w:val="24"/>
          <w:rtl w:val="0"/>
        </w:rPr>
        <w:t xml:space="preserve">SCOPE AND LIMITATIONS</w:t>
      </w:r>
      <w:r>
        <w:rPr>
          <w:rtl w:val="0"/>
          <w:sz w:val="24"/>
          <w:szCs w:val="24"/>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pPr>
      <w:r>
        <w:rPr>
          <w:rFonts w:ascii="Georgia" w:hAnsi="Georgia" w:cs="Georgia" w:eastAsia="Georgia"/>
          <w:sz w:val="22"/>
          <w:szCs w:val="22"/>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framing-only candidates can be compared across genres.</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 xml:space="preserve">The study also lacks a comparable expert-abstract corpus against which to compare the functional findings. Among retained hedges, no tokens were independently labeled Politeness (P = 0). That null is empirical and genre-linked, not built into Step 2: the Reader Test can retain pure P on a claim. P = 0 refers to reader-oriented softening of claims. Softened directives were out of scope under the claim condition and were logged as FP-Rec, not as P. Lead support is the Non-retained inventory scan of interpersonal candidates. Framing forms in that inventory failed the claim condition or both removal checks. False positives (n = 58) are residual rejects with reason codes, not a third function. Genre compression in abstracts is a plausible account of why P items on claims did not appear.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sz w:val="24"/>
          <w:szCs w:val="24"/>
          <w:rtl w:val="0"/>
        </w:rPr>
        <w:t xml:space="preserve">DEFINITION OF TERMS</w:t>
      </w:r>
      <w:r>
        <w:rPr>
          <w:rtl w:val="0"/>
          <w:sz w:val="24"/>
          <w:szCs w:val="24"/>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Chi-Square Test of Independence</w:t>
      </w:r>
      <w:r>
        <w:rPr>
          <w:rFonts w:ascii="Georgia" w:hAnsi="Georgia" w:cs="Georgia" w:eastAsia="Georgia"/>
          <w:sz w:val="22"/>
          <w:szCs w:val="22"/>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Reported values appear in the Results chapter.</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Epistemic Weight</w:t>
      </w:r>
      <w:r>
        <w:rPr>
          <w:rFonts w:ascii="Georgia" w:hAnsi="Georgia" w:cs="Georgia" w:eastAsia="Georgia"/>
          <w:sz w:val="22"/>
          <w:szCs w:val="22"/>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 are excluded by kind. The Working Test then asks whether removing the device raises commitment to that claim’s truth (EC). The Reader Test asks whether commitment stays the same but the claim reaches the reader more bluntly or the writer takes sole ownership against prior work (P). Non-claims and tokens that meet neither check are FP, not a function.</w:t>
      </w:r>
    </w:p>
    <w:p w:rsidR="00000000" w:rsidDel="00000000" w:rsidP="00000000" w:rsidRDefault="00000000" w:rsidRPr="00000000" w14:paraId="0000006F">
      <w:pPr>
        <w:spacing w:before="0" w:after="0" w:line="480" w:lineRule="auto"/>
        <w:ind w:firstLine="720"/>
        <w:jc w:val="both"/>
      </w:pPr>
      <w:r>
        <w:rPr>
          <w:rFonts w:ascii="Georgia" w:hAnsi="Georgia" w:cs="Georgia" w:eastAsia="Georgia"/>
          <w:sz w:val="22"/>
          <w:szCs w:val="22"/>
          <w:b/>
        </w:rPr>
        <w:t xml:space="preserve">Hedge Function</w:t>
      </w:r>
      <w:r>
        <w:rPr>
          <w:rFonts w:ascii="Georgia" w:hAnsi="Georgia" w:cs="Georgia" w:eastAsia="Georgia"/>
          <w:sz w:val="22"/>
          <w:szCs w:val="22"/>
        </w:rPr>
        <w:t xml:space="preserve">, conceptually, refers to the rhetorical purpose a hedging device serves in its discourse context. Operationally, this study uses two function labels only, adapted from Hyland’s (1998) discussion of hedging functions (not a fixed published taxonomy): Epistemic Caution (EC), which expresses reduced commitment to a claim’s truth or accuracy, and Politeness/Deference (P), which shows interpersonal softening toward readers or prior research. False positives are a residual coding record, not a function.</w:t>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Kruskal-Wallis Test</w:t>
      </w:r>
      <w:r>
        <w:rPr>
          <w:rFonts w:ascii="Georgia" w:hAnsi="Georgia" w:cs="Georgia" w:eastAsia="Georgia"/>
          <w:sz w:val="22"/>
          <w:szCs w:val="22"/>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Reported values appear in the Results chapter.</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pPr>
      <w:r>
        <w:rPr>
          <w:rFonts w:ascii="Georgia" w:hAnsi="Georgia" w:cs="Georgia" w:eastAsia="Georgia"/>
          <w:sz w:val="22"/>
          <w:szCs w:val="22"/>
          <w:b/>
        </w:rPr>
        <w:t xml:space="preserve">Mann-Whitney U Test</w:t>
      </w:r>
      <w:r>
        <w:rPr>
          <w:rFonts w:ascii="Georgia" w:hAnsi="Georgia" w:cs="Georgia" w:eastAsia="Georgia"/>
          <w:sz w:val="22"/>
          <w:szCs w:val="22"/>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Reported pairwise results appear in the Results chapter.</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Softening</w:t>
      </w:r>
      <w:r>
        <w:rPr>
          <w:rFonts w:ascii="Georgia" w:hAnsi="Georgia" w:cs="Georgia" w:eastAsia="Georgia"/>
          <w:sz w:val="22"/>
          <w:szCs w:val="22"/>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EC and/or P only, by the Working Test and Reader Test after the claim condition. FP is not a function label. Aims, directives, and routine procedure fail the claim condition by kind and are logged FP even if no category pre-filter is applied. P = 0 in this study refers to reader-oriented softening of claims, not to softened directives.</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sz w:val="28"/>
          <w:szCs w:val="28"/>
          <w:rtl w:val="0"/>
        </w:rPr>
        <w:t xml:space="preserve">METHODOLOGY</w:t>
      </w:r>
      <w:r>
        <w:rPr>
          <w:rtl w:val="0"/>
          <w:sz w:val="28"/>
          <w:szCs w:val="28"/>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sz w:val="24"/>
          <w:szCs w:val="24"/>
          <w:rtl w:val="0"/>
        </w:rPr>
        <w:t xml:space="preserve">RESEARCH CONTEXT</w:t>
      </w:r>
      <w:r>
        <w:rPr>
          <w:rtl w:val="0"/>
          <w:sz w:val="24"/>
          <w:szCs w:val="24"/>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sz w:val="24"/>
          <w:szCs w:val="24"/>
          <w:rtl w:val="0"/>
        </w:rPr>
        <w:t xml:space="preserve">RESEARCH DESIGN</w:t>
      </w:r>
      <w:r>
        <w:rPr>
          <w:rtl w:val="0"/>
          <w:sz w:val="24"/>
          <w:szCs w:val="24"/>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sz w:val="24"/>
          <w:szCs w:val="24"/>
          <w:rtl w:val="0"/>
        </w:rPr>
        <w:t xml:space="preserve">RESEARCH PROCESS</w:t>
      </w:r>
      <w:r>
        <w:rPr>
          <w:rtl w:val="0"/>
          <w:sz w:val="24"/>
          <w:szCs w:val="24"/>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4"/>
          <w:szCs w:val="24"/>
          <w:rtl w:val="0"/>
          <w:b w:val="0"/>
          <w:bCs w:val="0"/>
        </w:rPr>
        <w:t xml:space="preserve">The study proceeded through the following steps:</w:t>
      </w:r>
      <w:r>
        <w:rPr>
          <w:rFonts w:ascii="Georgia" w:hAnsi="Georgia" w:cs="Georgia" w:eastAsia="Georgia"/>
          <w:sz w:val="24"/>
          <w:rtl w:val="0"/>
          <w:b w:val="0"/>
          <w:bCs w:val="0"/>
          <w:szCs w:val="24"/>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pPr>
      <w:r>
        <w:rPr>
          <w:rFonts w:ascii="Georgia" w:hAnsi="Georgia" w:cs="Georgia" w:eastAsia="Georgia"/>
          <w:sz w:val="22"/>
          <w:szCs w:val="22"/>
          <w:b/>
        </w:rPr>
        <w:t xml:space="preserve">d. Pilot Testing and Reliability Checking. </w:t>
      </w:r>
      <w:r>
        <w:rPr>
          <w:rFonts w:ascii="Georgia" w:hAnsi="Georgia" w:cs="Georgia" w:eastAsia="Georgia"/>
          <w:sz w:val="22"/>
          <w:szCs w:val="22"/>
        </w:rPr>
        <w:t xml:space="preserve">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sz w:val="24"/>
          <w:szCs w:val="24"/>
          <w:rtl w:val="0"/>
        </w:rPr>
        <w:t xml:space="preserve">CODING DECISION RULES FOR AMBIGUOUS CASES</w:t>
      </w:r>
      <w:r>
        <w:rPr>
          <w:rtl w:val="0"/>
          <w:sz w:val="24"/>
          <w:szCs w:val="24"/>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show how the claim condition and removal checks apply. First, “can” combined with an active content verb describing a treatment effect (enhance, promote, reduce, help) fails as a claim-mitigator when it only marks capability (FP-Cap), because removing “can” does not raise commitment to a claim’s truth when the host is ability rather than a finding under doubt.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structural position is how the claim condition applies, not a pre-filter before Step 2. Aim and methods clauses are non-claims (what the study set out to do), so “potential” there fails the claim condition and is coded FP-Gen, as when an abstract “explores the potential antifungal properties” of a plant or names “potential pharmaceutical applications” as the object of further study. Results and conclusion frames that qualify a finding-claim remain claims, so “potential” can pass the claim condition and, if the Working Test holds, is coded Lexical EC. When removing the token clearly changes commitment to a proposition—for example when “presence of potential mycobacterial infections” becomes an asserted presence claim without the modifier—the token is coded Lexical EC. The same claim-condition treatment applies to “possibility + noun” in aim and method sentences. Fourth, when a sentence contains multiple hedge-like tokens, each is tested on its own host clause under the claim condition and the two removal checks.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sz w:val="24"/>
          <w:szCs w:val="24"/>
          <w:rtl w:val="0"/>
        </w:rPr>
        <w:t xml:space="preserve">RESEARCH CORPUS</w:t>
      </w:r>
      <w:r>
        <w:rPr>
          <w:rtl w:val="0"/>
          <w:sz w:val="24"/>
          <w:szCs w:val="24"/>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2"/>
          <w:szCs w:val="22"/>
        </w:rPr>
        <w:t>Table 1</w:t>
      </w:r>
    </w:p>
    <w:p>
      <w:pPr>
        <w:keepNext w:val="1"/>
        <w:spacing w:before="0" w:after="60" w:line="480" w:lineRule="auto"/>
        <w:jc w:val="center"/>
      </w:pPr>
      <w:r>
        <w:rPr>
          <w:rFonts w:ascii="Georgia" w:hAnsi="Georgia" w:cs="Georgia" w:eastAsia="Georgia"/>
          <w:sz w:val="22"/>
          <w:szCs w:val="22"/>
        </w:rPr>
        <w:t>PSAU Thesis Repository: Population and Sampling Summary</w:t>
      </w:r>
    </w:p>
    <w:tbl>
      <w:tblPr>
        <w:tblStyle w:val="Table1"/>
        <w:tblW w:w="8304"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sz w:val="28"/>
          <w:szCs w:val="28"/>
          <w:rtl w:val="0"/>
        </w:rPr>
        <w:t xml:space="preserve">RESULTS, ANALYSIS, AND DISCUSSION</w:t>
      </w:r>
      <w:r>
        <w:rPr>
          <w:rtl w:val="0"/>
          <w:sz w:val="28"/>
          <w:szCs w:val="28"/>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sz w:val="24"/>
          <w:szCs w:val="24"/>
          <w:rtl w:val="0"/>
        </w:rPr>
        <w:t xml:space="preserve">PART I: HEDGE TYPES ACROSS THE THREE DISCIPLINES</w:t>
      </w:r>
      <w:r>
        <w:rPr>
          <w:rtl w:val="0"/>
          <w:sz w:val="24"/>
          <w:szCs w:val="24"/>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2"/>
          <w:szCs w:val="22"/>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2"/>
          <w:szCs w:val="22"/>
        </w:rPr>
        <w:t>Table 2</w:t>
      </w:r>
    </w:p>
    <w:p>
      <w:pPr>
        <w:keepNext w:val="1"/>
        <w:spacing w:before="0" w:after="60" w:line="480" w:lineRule="auto"/>
        <w:jc w:val="center"/>
      </w:pPr>
      <w:r>
        <w:rPr>
          <w:rFonts w:ascii="Georgia" w:hAnsi="Georgia" w:cs="Georgia" w:eastAsia="Georgia"/>
          <w:sz w:val="22"/>
          <w:szCs w:val="22"/>
        </w:rPr>
        <w:t>Hedge Type Distribution Across the Corpus</w:t>
      </w:r>
    </w:p>
    <w:tbl>
      <w:tblPr>
        <w:tblStyle w:val="Table2"/>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spacing w:before="720" w:after="0" w:line="480" w:lineRule="auto"/>
        <w:jc w:val="center"/>
        <w:keepNext/>
        <w:pageBreakBefore/>
      </w:pPr>
      <w:r>
        <w:rPr>
          <w:rFonts w:ascii="Georgia" w:hAnsi="Georgia" w:cs="Georgia" w:eastAsia="Georgia"/>
          <w:b/>
          <w:sz w:val="22"/>
          <w:szCs w:val="22"/>
        </w:rPr>
        <w:t>Table 4</w:t>
      </w:r>
    </w:p>
    <w:p>
      <w:pPr>
        <w:spacing w:before="0" w:after="60" w:line="480" w:lineRule="auto"/>
        <w:jc w:val="center"/>
        <w:keepNext/>
      </w:pPr>
      <w:r>
        <w:rPr>
          <w:rFonts w:ascii="Georgia" w:hAnsi="Georgia" w:cs="Georgia" w:eastAsia="Georgia"/>
          <w:sz w:val="22"/>
          <w:szCs w:val="22"/>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 xml:space="preserve">Alongside the 65 retained EC hedges (and P = 0), the corpus yielded 58 false positive tokens—hedge-like words that failed the claim condition or both removal checks at Step 2. Table 6 places these totals side by side. The false positive breakdown shows FP-Gen (general exclusion, including topic-naming and evidential pointers) at 33 instances, FP-Rec (recommendations) at 15, FP-Proc (procedural norms) at 2, and FP-Cap (capability) at 8. The high number of FP-Gen tokens reflects topic-naming potential and similar non-claim frames rather than a pre-filter applied before Step 2.</w:t>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sz w:val="24"/>
          <w:szCs w:val="24"/>
          <w:rtl w:val="0"/>
        </w:rPr>
        <w:t xml:space="preserve">PART II: HEDGE FREQUENCY ACROSS DISCIPLINES</w:t>
      </w:r>
      <w:r>
        <w:rPr>
          <w:rtl w:val="0"/>
          <w:sz w:val="24"/>
          <w:szCs w:val="24"/>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2"/>
          <w:szCs w:val="22"/>
        </w:rPr>
        <w:t>Table 5</w:t>
      </w:r>
    </w:p>
    <w:p>
      <w:pPr>
        <w:keepNext w:val="1"/>
        <w:spacing w:before="0" w:after="60" w:line="480" w:lineRule="auto"/>
        <w:jc w:val="center"/>
      </w:pPr>
      <w:r>
        <w:rPr>
          <w:rFonts w:ascii="Georgia" w:hAnsi="Georgia" w:cs="Georgia" w:eastAsia="Georgia"/>
          <w:sz w:val="22"/>
          <w:szCs w:val="22"/>
        </w:rPr>
        <w:t>Hedge Frequency by Discipline</w:t>
      </w:r>
    </w:p>
    <w:tbl>
      <w:tblPr>
        <w:tblStyle w:val="Table4"/>
        <w:tblW w:w="8355"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sz w:val="24"/>
          <w:szCs w:val="24"/>
          <w:rtl w:val="0"/>
        </w:rPr>
        <w:t xml:space="preserve">PART III: RHETORICAL FUNCTIONS OF HEDGING DEVICES</w:t>
      </w:r>
      <w:r>
        <w:rPr>
          <w:rtl w:val="0"/>
          <w:sz w:val="24"/>
          <w:szCs w:val="24"/>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Table 6 summarizes Step 2 outcomes for the coding pool. Of the retained hedges, all 65 were coded Epistemic Caution (EC). Politeness/Deference is null (P = 0). False positives totaled 58 (FP-Gen 33, FP-Rec 15, FP-Cap 8, FP-Proc 2). FP is not a function label; the 58 failed the claim condition or both removal checks (reason codes: FP-Gen, FP-Rec, FP-Cap, FP-Proc). The direct comparison is therefore EC = 65, P = 0, FP = 58.</w:t>
      </w:r>
    </w:p>
    <w:p>
      <w:pPr>
        <w:keepNext w:val="1"/>
        <w:spacing w:before="720" w:after="0" w:line="480" w:lineRule="auto"/>
        <w:jc w:val="center"/>
      </w:pPr>
      <w:r>
        <w:rPr>
          <w:rFonts w:ascii="Georgia" w:hAnsi="Georgia" w:cs="Georgia" w:eastAsia="Georgia"/>
          <w:b/>
          <w:sz w:val="22"/>
          <w:szCs w:val="22"/>
        </w:rPr>
        <w:t>Table 6</w:t>
      </w:r>
    </w:p>
    <w:p>
      <w:pPr>
        <w:keepNext w:val="1"/>
        <w:spacing w:before="0" w:after="60" w:line="480" w:lineRule="auto"/>
        <w:jc w:val="center"/>
      </w:pPr>
      <w:r>
        <w:rPr>
          <w:rFonts w:ascii="Georgia" w:hAnsi="Georgia" w:cs="Georgia" w:eastAsia="Georgia"/>
          <w:sz w:val="22"/>
          <w:szCs w:val="22"/>
        </w:rPr>
        <w:t xml:space="preserve">Step 2 Outcomes: EC, P, and FP (Candidate Pool)</w:t>
      </w:r>
    </w:p>
    <w:tbl>
      <w:tblPr>
        <w:tblStyle w:val="Table5"/>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Step 2 outcome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Note</w:t>
            </w:r>
            <w:r>
              <w:rPr>
                <w:rtl w:val="0"/>
                <w:sz w:val="18"/>
                <w:szCs w:val="18"/>
                <w:rFonts w:ascii="Georgia" w:hAnsi="Georgia"/>
              </w:rPr>
            </w:r>
          </w:p>
        </w:tc>
      </w:tr>
      <w:tr>
        <w:trPr>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 — retained</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Passed Working Test</w:t>
            </w:r>
            <w:r>
              <w:rPr>
                <w:rtl w:val="0"/>
                <w:sz w:val="18"/>
                <w:szCs w:val="18"/>
                <w:rFonts w:ascii="Georgia" w:hAnsi="Georgia"/>
              </w:rPr>
            </w:r>
          </w:p>
        </w:tc>
      </w:tr>
      <w:tr>
        <w:trPr>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 — retained</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Null in this sample</w:t>
            </w:r>
            <w:r>
              <w:rPr>
                <w:rtl w:val="0"/>
                <w:sz w:val="18"/>
                <w:szCs w:val="18"/>
                <w:rFonts w:ascii="Georgia" w:hAnsi="Georgia"/>
              </w:rPr>
            </w:r>
          </w:p>
        </w:tc>
      </w:tr>
      <w:tr>
        <w:trPr>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 xml:space="preserve">False positive (FP)</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Not retained; not a function</w:t>
            </w:r>
            <w:r>
              <w:rPr>
                <w:rtl w:val="0"/>
                <w:sz w:val="18"/>
                <w:szCs w:val="18"/>
                <w:rFonts w:ascii="Georgia" w:hAnsi="Georgia"/>
              </w:rPr>
            </w:r>
          </w:p>
        </w:tc>
      </w:tr>
      <w:tr>
        <w:trPr>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 candidate decisions</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123</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Logged candidates only (65 retained + 58 FP), not every word in the corpus</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Under the Step 2 rule (claim condition, then Working Test and Reader Test), only tokens attached to claims that pass at least one removal check enter the retained hedge set. Candidates that fail the claim condition or both checks—including recommendations and other non-claims—are logged as false positives and do not count in the 65. P = 0 refers to reader-oriented softening of claims. Softened directives were out of scope under the claim condition. P-only mitigation could in principle have been retained if the Reader Test held on a claim without a truth-commitment change. In this corpus no such P forms appeared (P = 0).</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pPr>
      <w:r>
        <w:rPr>
          <w:rFonts w:ascii="Georgia" w:hAnsi="Georgia" w:cs="Georgia" w:eastAsia="Georgia"/>
          <w:sz w:val="22"/>
          <w:szCs w:val="22"/>
        </w:rPr>
        <w:t xml:space="preserve">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2. In this sample no P candidates entered the retained set. Framing and sequencing forms that failed both removal checks sit outside the retained set. They are not included in the 58 category-coded FPs (FP-Gen, FP-Rec, FP-Cap, FP-Proc). The data support a claim about the functional profile of the retained set, not a claim that writers never mitigate interpersonally outside that set.</w:t>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sz w:val="24"/>
          <w:szCs w:val="24"/>
          <w:rtl w:val="0"/>
        </w:rPr>
        <w:t>PART IV: CROSS-DISCIPLINARY CONTRASTS</w:t>
      </w:r>
      <w:r>
        <w:rPr>
          <w:rtl w:val="0"/>
          <w:sz w:val="24"/>
          <w:szCs w:val="24"/>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2"/>
          <w:szCs w:val="22"/>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That is a density pattern only. It is not the same as higher overclaiming: unhedged assertions were 4 in Veterinary Medicine, 4 in Biology, and 6 in Agriculture (Table 5), so Veterinary Medicine does not lead the corpus in sites where caution was warranted but absent. The study does not claim that Veterinary Medicine writers overclaim more—only that they hedge less in this sample. Hyland’s (2005) stance model is consistent with the density reading (fewer hedges mean less explicit softening of authorial commitment) without converting it into a finding about field-wide norms.</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sz w:val="28"/>
          <w:szCs w:val="28"/>
          <w:rtl w:val="0"/>
        </w:rPr>
        <w:t xml:space="preserve">CONCLUSIONS AND RECOMMENDATIONS</w:t>
      </w:r>
      <w:r>
        <w:rPr>
          <w:rtl w:val="0"/>
          <w:sz w:val="28"/>
          <w:szCs w:val="28"/>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sz w:val="24"/>
          <w:szCs w:val="24"/>
          <w:rtl w:val="0"/>
        </w:rPr>
        <w:t xml:space="preserve">CONCLUSIONS</w:t>
      </w:r>
      <w:r>
        <w:rPr>
          <w:rtl w:val="0"/>
          <w:sz w:val="24"/>
          <w:szCs w:val="24"/>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sz w:val="24"/>
          <w:szCs w:val="24"/>
          <w:rtl w:val="0"/>
        </w:rPr>
        <w:t xml:space="preserve">RECOMMENDATIONS</w:t>
      </w:r>
      <w:r>
        <w:rPr>
          <w:rtl w:val="0"/>
          <w:sz w:val="24"/>
          <w:szCs w:val="24"/>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sz w:val="28"/>
          <w:szCs w:val="28"/>
          <w:rtl w:val="0"/>
        </w:rPr>
        <w:t xml:space="preserve">REFERENCES</w:t>
      </w:r>
      <w:r>
        <w:rPr>
          <w:rtl w:val="0"/>
          <w:sz w:val="28"/>
          <w:szCs w:val="28"/>
        </w:rPr>
      </w:r>
    </w:p>
    <w:p w:rsidR="00000000" w:rsidDel="00000000" w:rsidP="00000000" w:rsidRDefault="00000000" w:rsidRPr="00000000" w14:paraId="00000186">
      <w:pPr>
        <w:spacing w:before="0" w:after="0" w:line="480" w:lineRule="auto"/>
        <w:ind w:left="720" w:hanging="720"/>
        <w:jc w:val="left"/>
        <w:rPr/>
      </w:pPr>
      <w:r>
        <w:rPr>
          <w:rFonts w:ascii="Georgia" w:hAnsi="Georgia" w:eastAsia="Georgia" w:cs="Georgia"/>
          <w:i w:val="0"/>
          <w:sz w:val="22"/>
          <w:szCs w:val="22"/>
        </w:rPr>
        <w:t xml:space="preserve">Afshar, H. S., Moradi, M., &amp; Hamzavi, R. (2014). Frequency and type of hedging devices used in the research articles of humanities, basic sciences and agriculture. </w:t>
      </w:r>
      <w:r>
        <w:rPr>
          <w:rFonts w:ascii="Georgia" w:hAnsi="Georgia" w:eastAsia="Georgia" w:cs="Georgia"/>
          <w:i/>
          <w:sz w:val="22"/>
          <w:szCs w:val="22"/>
        </w:rPr>
        <w:t>Procedia – Social and Behavioral Sciences, 136</w:t>
      </w:r>
      <w:r>
        <w:rPr>
          <w:rFonts w:ascii="Georgia" w:hAnsi="Georgia" w:eastAsia="Georgia" w:cs="Georgia"/>
          <w:i w:val="0"/>
          <w:sz w:val="22"/>
          <w:szCs w:val="22"/>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i w:val="0"/>
          <w:sz w:val="22"/>
          <w:szCs w:val="22"/>
        </w:rPr>
        <w:t xml:space="preserve">Biber, D., Conrad, S., &amp; Reppen, R. (1998). </w:t>
      </w:r>
      <w:r>
        <w:rPr>
          <w:rFonts w:ascii="Georgia" w:hAnsi="Georgia" w:eastAsia="Georgia" w:cs="Georgia"/>
          <w:i/>
          <w:sz w:val="22"/>
          <w:szCs w:val="22"/>
        </w:rPr>
        <w:t>Corpus linguistics: Investigating language structure and use</w:t>
      </w:r>
      <w:r>
        <w:rPr>
          <w:rFonts w:ascii="Georgia" w:hAnsi="Georgia" w:eastAsia="Georgia" w:cs="Georgia"/>
          <w:i w:val="0"/>
          <w:sz w:val="22"/>
          <w:szCs w:val="22"/>
        </w:rPr>
        <w:t>. Cambridge University Press.</w:t>
      </w:r>
    </w:p>
    <w:p>
      <w:pPr>
        <w:spacing w:before="0" w:after="0" w:line="480" w:lineRule="auto"/>
        <w:ind w:left="720" w:hanging="720"/>
        <w:jc w:val="left"/>
        <w:rPr/>
      </w:pPr>
      <w:r>
        <w:rPr>
          <w:rFonts w:ascii="Georgia" w:hAnsi="Georgia" w:eastAsia="Georgia" w:cs="Georgia"/>
          <w:i w:val="0"/>
          <w:sz w:val="22"/>
          <w:szCs w:val="22"/>
        </w:rPr>
        <w:t xml:space="preserve">Crompton, P. (1997). Hedging in academic writing: Some theoretical problems. </w:t>
      </w:r>
      <w:r>
        <w:rPr>
          <w:rFonts w:ascii="Georgia" w:hAnsi="Georgia" w:eastAsia="Georgia" w:cs="Georgia"/>
          <w:i/>
          <w:sz w:val="22"/>
          <w:szCs w:val="22"/>
        </w:rPr>
        <w:t>English for Specific Purposes, 16</w:t>
      </w:r>
      <w:r>
        <w:rPr>
          <w:rFonts w:ascii="Georgia" w:hAnsi="Georgia" w:eastAsia="Georgia" w:cs="Georgia"/>
          <w:i w:val="0"/>
          <w:sz w:val="22"/>
          <w:szCs w:val="22"/>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Georgia" w:hAnsi="Georgia" w:eastAsia="Georgia" w:cs="Georgia"/>
          <w:i w:val="0"/>
          <w:sz w:val="22"/>
          <w:szCs w:val="22"/>
        </w:rPr>
        <w:t xml:space="preserve">Demir, C. (2018). Hedging and academic writing: An analysis of lexical hedges. </w:t>
      </w:r>
      <w:r>
        <w:rPr>
          <w:rFonts w:ascii="Georgia" w:hAnsi="Georgia" w:eastAsia="Georgia" w:cs="Georgia"/>
          <w:i/>
          <w:sz w:val="22"/>
          <w:szCs w:val="22"/>
        </w:rPr>
        <w:t>Journal of Language and Linguistic Studies, 14</w:t>
      </w:r>
      <w:r>
        <w:rPr>
          <w:rFonts w:ascii="Georgia" w:hAnsi="Georgia" w:eastAsia="Georgia" w:cs="Georgia"/>
          <w:i w:val="0"/>
          <w:sz w:val="22"/>
          <w:szCs w:val="22"/>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eastAsia="Georgia" w:cs="Georgia"/>
          <w:i w:val="0"/>
          <w:sz w:val="22"/>
          <w:szCs w:val="22"/>
        </w:rPr>
        <w:t xml:space="preserve">Escalona, S. L. (2025). Hedges and boosters in college essays: A study of linguistic modulation in student writing. </w:t>
      </w:r>
      <w:r>
        <w:rPr>
          <w:rFonts w:ascii="Georgia" w:hAnsi="Georgia" w:eastAsia="Georgia" w:cs="Georgia"/>
          <w:i/>
          <w:sz w:val="22"/>
          <w:szCs w:val="22"/>
        </w:rPr>
        <w:t>International Journal of English Literature and Social Sciences, 10</w:t>
      </w:r>
      <w:r>
        <w:rPr>
          <w:rFonts w:ascii="Georgia" w:hAnsi="Georgia" w:eastAsia="Georgia" w:cs="Georgia"/>
          <w:i w:val="0"/>
          <w:sz w:val="22"/>
          <w:szCs w:val="22"/>
        </w:rPr>
        <w:t>(1), 7–17. https://doi.org/10.22161/ijels.101.2</w:t>
      </w:r>
    </w:p>
    <w:p>
      <w:pPr>
        <w:spacing w:before="0" w:after="0" w:line="480" w:lineRule="auto"/>
        <w:ind w:left="720" w:hanging="720"/>
        <w:jc w:val="left"/>
        <w:rPr/>
      </w:pPr>
      <w:r>
        <w:rPr>
          <w:rFonts w:ascii="Georgia" w:hAnsi="Georgia" w:eastAsia="Georgia" w:cs="Georgia"/>
          <w:i w:val="0"/>
          <w:sz w:val="22"/>
          <w:szCs w:val="22"/>
        </w:rPr>
        <w:t xml:space="preserve">Ghia, E., Petrocelli, E., &amp; Pizziconi, S. (2022). Data possibly suggest… Hedging in second language writing: A study on advanced Italian EFL learners. </w:t>
      </w:r>
      <w:r>
        <w:rPr>
          <w:rFonts w:ascii="Georgia" w:hAnsi="Georgia" w:eastAsia="Georgia" w:cs="Georgia"/>
          <w:i/>
          <w:sz w:val="22"/>
          <w:szCs w:val="22"/>
        </w:rPr>
        <w:t>Belgrade English Language and Literature Studies, 14</w:t>
      </w:r>
      <w:r>
        <w:rPr>
          <w:rFonts w:ascii="Georgia" w:hAnsi="Georgia" w:eastAsia="Georgia" w:cs="Georgia"/>
          <w:i w:val="0"/>
          <w:sz w:val="22"/>
          <w:szCs w:val="22"/>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i w:val="0"/>
          <w:sz w:val="22"/>
          <w:szCs w:val="22"/>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i/>
          <w:sz w:val="22"/>
          <w:szCs w:val="22"/>
        </w:rPr>
        <w:t>Medical Journal of the Islamic Republic of Iran, 39</w:t>
      </w:r>
      <w:r>
        <w:rPr>
          <w:rFonts w:ascii="Georgia" w:hAnsi="Georgia" w:eastAsia="Georgia" w:cs="Georgia"/>
          <w:i w:val="0"/>
          <w:sz w:val="22"/>
          <w:szCs w:val="22"/>
        </w:rPr>
        <w:t>, Article 125. https://pmc.ncbi.nlm.nih.gov/articles/PMC12584097/</w:t>
      </w:r>
    </w:p>
    <w:p>
      <w:pPr>
        <w:spacing w:before="0" w:after="0" w:line="480" w:lineRule="auto"/>
        <w:ind w:left="720" w:hanging="720"/>
        <w:jc w:val="left"/>
        <w:rPr/>
      </w:pPr>
      <w:r>
        <w:rPr>
          <w:rFonts w:ascii="Georgia" w:hAnsi="Georgia" w:eastAsia="Georgia" w:cs="Georgia"/>
          <w:i w:val="0"/>
          <w:sz w:val="22"/>
          <w:szCs w:val="22"/>
        </w:rPr>
        <w:t xml:space="preserve">Hu, G., &amp; Cao, F. (2011). Hedging and boosting in abstracts of applied linguistics articles: A comparative study of English- and Chinese-medium journals. </w:t>
      </w:r>
      <w:r>
        <w:rPr>
          <w:rFonts w:ascii="Georgia" w:hAnsi="Georgia" w:eastAsia="Georgia" w:cs="Georgia"/>
          <w:i/>
          <w:sz w:val="22"/>
          <w:szCs w:val="22"/>
        </w:rPr>
        <w:t>Journal of Pragmatics, 43</w:t>
      </w:r>
      <w:r>
        <w:rPr>
          <w:rFonts w:ascii="Georgia" w:hAnsi="Georgia" w:eastAsia="Georgia" w:cs="Georgia"/>
          <w:i w:val="0"/>
          <w:sz w:val="22"/>
          <w:szCs w:val="22"/>
        </w:rPr>
        <w:t>(11), 2795–2809. https://doi.org/10.1016/j.pragma.2011.04.007</w:t>
      </w:r>
    </w:p>
    <w:p>
      <w:pPr>
        <w:spacing w:before="0" w:after="0" w:line="480" w:lineRule="auto"/>
        <w:ind w:left="720" w:hanging="720"/>
        <w:jc w:val="left"/>
        <w:rPr/>
      </w:pPr>
      <w:r>
        <w:rPr>
          <w:rFonts w:ascii="Georgia" w:hAnsi="Georgia" w:eastAsia="Georgia" w:cs="Georgia"/>
          <w:i w:val="0"/>
          <w:sz w:val="22"/>
          <w:szCs w:val="22"/>
        </w:rPr>
        <w:t xml:space="preserve">Hyland, K. (1996). Writing without conviction? Hedging in science research articles. </w:t>
      </w:r>
      <w:r>
        <w:rPr>
          <w:rFonts w:ascii="Georgia" w:hAnsi="Georgia" w:eastAsia="Georgia" w:cs="Georgia"/>
          <w:i/>
          <w:sz w:val="22"/>
          <w:szCs w:val="22"/>
        </w:rPr>
        <w:t>Applied Linguistics, 17</w:t>
      </w:r>
      <w:r>
        <w:rPr>
          <w:rFonts w:ascii="Georgia" w:hAnsi="Georgia" w:eastAsia="Georgia" w:cs="Georgia"/>
          <w:i w:val="0"/>
          <w:sz w:val="22"/>
          <w:szCs w:val="22"/>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i w:val="0"/>
          <w:sz w:val="22"/>
          <w:szCs w:val="22"/>
        </w:rPr>
        <w:t xml:space="preserve">Hyland, K. (1998). </w:t>
      </w:r>
      <w:r>
        <w:rPr>
          <w:rFonts w:ascii="Georgia" w:hAnsi="Georgia" w:eastAsia="Georgia" w:cs="Georgia"/>
          <w:i/>
          <w:sz w:val="22"/>
          <w:szCs w:val="22"/>
        </w:rPr>
        <w:t>Hedging in scientific research articles</w:t>
      </w:r>
      <w:r>
        <w:rPr>
          <w:rFonts w:ascii="Georgia" w:hAnsi="Georgia" w:eastAsia="Georgia" w:cs="Georgia"/>
          <w:i w:val="0"/>
          <w:sz w:val="22"/>
          <w:szCs w:val="22"/>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eastAsia="Georgia" w:cs="Georgia"/>
          <w:i w:val="0"/>
          <w:sz w:val="22"/>
          <w:szCs w:val="22"/>
        </w:rPr>
        <w:t xml:space="preserve">Hyland, K. (2005). Stance and engagement: A model of interaction in academic discourse. </w:t>
      </w:r>
      <w:r>
        <w:rPr>
          <w:rFonts w:ascii="Georgia" w:hAnsi="Georgia" w:eastAsia="Georgia" w:cs="Georgia"/>
          <w:i/>
          <w:sz w:val="22"/>
          <w:szCs w:val="22"/>
        </w:rPr>
        <w:t>Discourse Studies, 7</w:t>
      </w:r>
      <w:r>
        <w:rPr>
          <w:rFonts w:ascii="Georgia" w:hAnsi="Georgia" w:eastAsia="Georgia" w:cs="Georgia"/>
          <w:i w:val="0"/>
          <w:sz w:val="22"/>
          <w:szCs w:val="22"/>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eastAsia="Georgia" w:cs="Georgia"/>
          <w:i w:val="0"/>
          <w:sz w:val="22"/>
          <w:szCs w:val="22"/>
        </w:rPr>
        <w:t xml:space="preserve">Hyland, K., &amp; Milton, J. (1997). Qualification and certainty in L1 and L2 students’ writing. </w:t>
      </w:r>
      <w:r>
        <w:rPr>
          <w:rFonts w:ascii="Georgia" w:hAnsi="Georgia" w:eastAsia="Georgia" w:cs="Georgia"/>
          <w:i/>
          <w:sz w:val="22"/>
          <w:szCs w:val="22"/>
        </w:rPr>
        <w:t>Journal of Second Language Writing, 6</w:t>
      </w:r>
      <w:r>
        <w:rPr>
          <w:rFonts w:ascii="Georgia" w:hAnsi="Georgia" w:eastAsia="Georgia" w:cs="Georgia"/>
          <w:i w:val="0"/>
          <w:sz w:val="22"/>
          <w:szCs w:val="22"/>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eastAsia="Georgia" w:cs="Georgia"/>
          <w:i w:val="0"/>
          <w:sz w:val="22"/>
          <w:szCs w:val="22"/>
        </w:rPr>
        <w:t xml:space="preserve">Imataki, N., &amp; Kobayashi, Y. (2024). Analyzing disciplinary variation in abstracts: Linguistic features across scientific and technical fields. </w:t>
      </w:r>
      <w:r>
        <w:rPr>
          <w:rFonts w:ascii="Georgia" w:hAnsi="Georgia" w:eastAsia="Georgia" w:cs="Georgia"/>
          <w:i/>
          <w:sz w:val="22"/>
          <w:szCs w:val="22"/>
        </w:rPr>
        <w:t>Linguistics and Literature Studies, 12</w:t>
      </w:r>
      <w:r>
        <w:rPr>
          <w:rFonts w:ascii="Georgia" w:hAnsi="Georgia" w:eastAsia="Georgia" w:cs="Georgia"/>
          <w:i w:val="0"/>
          <w:sz w:val="22"/>
          <w:szCs w:val="22"/>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eastAsia="Georgia" w:cs="Georgia"/>
          <w:i w:val="0"/>
          <w:sz w:val="22"/>
          <w:szCs w:val="22"/>
        </w:rPr>
        <w:t xml:space="preserve">Khunasathitchai, K., Sittironnarit, S., Sinturat, T., &amp; Kumdee, S. (2025). Move analysis and hedge use in the research paper abstracts of Thai EFL English-majored undergraduates. </w:t>
      </w:r>
      <w:r>
        <w:rPr>
          <w:rFonts w:ascii="Georgia" w:hAnsi="Georgia" w:eastAsia="Georgia" w:cs="Georgia"/>
          <w:i/>
          <w:sz w:val="22"/>
          <w:szCs w:val="22"/>
        </w:rPr>
        <w:t>rEFLections, 32</w:t>
      </w:r>
      <w:r>
        <w:rPr>
          <w:rFonts w:ascii="Georgia" w:hAnsi="Georgia" w:eastAsia="Georgia" w:cs="Georgia"/>
          <w:i w:val="0"/>
          <w:sz w:val="22"/>
          <w:szCs w:val="22"/>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eastAsia="Georgia" w:cs="Georgia"/>
          <w:i w:val="0"/>
          <w:sz w:val="22"/>
          <w:szCs w:val="22"/>
        </w:rPr>
        <w:t xml:space="preserve">Landis, J. R., &amp; Koch, G. G. (1977). The measurement of observer agreement for categorical data. </w:t>
      </w:r>
      <w:r>
        <w:rPr>
          <w:rFonts w:ascii="Georgia" w:hAnsi="Georgia" w:eastAsia="Georgia" w:cs="Georgia"/>
          <w:i/>
          <w:sz w:val="22"/>
          <w:szCs w:val="22"/>
        </w:rPr>
        <w:t>Biometrics, 33</w:t>
      </w:r>
      <w:r>
        <w:rPr>
          <w:rFonts w:ascii="Georgia" w:hAnsi="Georgia" w:eastAsia="Georgia" w:cs="Georgia"/>
          <w:i w:val="0"/>
          <w:sz w:val="22"/>
          <w:szCs w:val="22"/>
        </w:rPr>
        <w:t>(1), 159–174. https://doi.org/10.2307/2529310</w:t>
      </w:r>
    </w:p>
    <w:p>
      <w:pPr>
        <w:spacing w:before="0" w:after="0" w:line="480" w:lineRule="auto"/>
        <w:ind w:left="720" w:hanging="720"/>
        <w:jc w:val="left"/>
        <w:rPr/>
      </w:pPr>
      <w:r>
        <w:rPr>
          <w:rFonts w:ascii="Georgia" w:hAnsi="Georgia" w:eastAsia="Georgia" w:cs="Georgia"/>
          <w:i w:val="0"/>
          <w:sz w:val="22"/>
          <w:szCs w:val="22"/>
        </w:rPr>
        <w:t xml:space="preserve">Lopez, R. M. C., Pedida, J. A., Alzate, L. J. A., &amp; Eustaquio, M. T. L. (2025). Language of caution and certainty: Writing proficiency in hedges and boosters in student essays. </w:t>
      </w:r>
      <w:r>
        <w:rPr>
          <w:rFonts w:ascii="Georgia" w:hAnsi="Georgia" w:eastAsia="Georgia" w:cs="Georgia"/>
          <w:i/>
          <w:sz w:val="22"/>
          <w:szCs w:val="22"/>
        </w:rPr>
        <w:t>International Journal of Research and Innovation in Social Science, 9</w:t>
      </w:r>
      <w:r>
        <w:rPr>
          <w:rFonts w:ascii="Georgia" w:hAnsi="Georgia" w:eastAsia="Georgia" w:cs="Georgia"/>
          <w:i w:val="0"/>
          <w:sz w:val="22"/>
          <w:szCs w:val="22"/>
        </w:rPr>
        <w:t>(11), 6176–6196. https://doi.org/10.47772/IJRISS.2025.91100485</w:t>
      </w:r>
    </w:p>
    <w:p>
      <w:pPr>
        <w:spacing w:before="0" w:after="0" w:line="480" w:lineRule="auto"/>
        <w:ind w:left="720" w:hanging="720"/>
        <w:jc w:val="left"/>
        <w:rPr/>
      </w:pPr>
      <w:r>
        <w:rPr>
          <w:rFonts w:ascii="Georgia" w:hAnsi="Georgia" w:eastAsia="Georgia" w:cs="Georgia"/>
          <w:i w:val="0"/>
          <w:sz w:val="22"/>
          <w:szCs w:val="22"/>
        </w:rPr>
        <w:t xml:space="preserve">Mazidah, E. N., Cahyani, W. I., &amp; Masruroh, L. (2022). Hedges and boosters in undergraduate thesis abstracts of Qomaruddin University students. </w:t>
      </w:r>
      <w:r>
        <w:rPr>
          <w:rFonts w:ascii="Georgia" w:hAnsi="Georgia" w:eastAsia="Georgia" w:cs="Georgia"/>
          <w:i/>
          <w:sz w:val="22"/>
          <w:szCs w:val="22"/>
        </w:rPr>
        <w:t>Journal of Education, Humaniora and Social Sciences (JEHSS), 4</w:t>
      </w:r>
      <w:r>
        <w:rPr>
          <w:rFonts w:ascii="Georgia" w:hAnsi="Georgia" w:eastAsia="Georgia" w:cs="Georgia"/>
          <w:i w:val="0"/>
          <w:sz w:val="22"/>
          <w:szCs w:val="22"/>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i w:val="0"/>
          <w:sz w:val="22"/>
          <w:szCs w:val="22"/>
        </w:rPr>
        <w:t xml:space="preserve">Mohammed, S. J. (2011). </w:t>
      </w:r>
      <w:r>
        <w:rPr>
          <w:rFonts w:ascii="Georgia" w:hAnsi="Georgia" w:eastAsia="Georgia" w:cs="Georgia"/>
          <w:i/>
          <w:sz w:val="22"/>
          <w:szCs w:val="22"/>
        </w:rPr>
        <w:t>Lexical hedges: A study of cultural and disciplinary variation in academic research articles</w:t>
      </w:r>
      <w:r>
        <w:rPr>
          <w:rFonts w:ascii="Georgia" w:hAnsi="Georgia" w:eastAsia="Georgia" w:cs="Georgia"/>
          <w:i w:val="0"/>
          <w:sz w:val="22"/>
          <w:szCs w:val="22"/>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eastAsia="Georgia" w:cs="Georgia"/>
          <w:i w:val="0"/>
          <w:sz w:val="22"/>
          <w:szCs w:val="22"/>
        </w:rPr>
        <w:t xml:space="preserve">Ningrum, S., Puspita, H., &amp; Mulyadi, A. I. (2024). Hedges and boosters in academic writing of ASEAN EFL learners. </w:t>
      </w:r>
      <w:r>
        <w:rPr>
          <w:rFonts w:ascii="Georgia" w:hAnsi="Georgia" w:eastAsia="Georgia" w:cs="Georgia"/>
          <w:i/>
          <w:sz w:val="22"/>
          <w:szCs w:val="22"/>
        </w:rPr>
        <w:t>Journal of English Education and Teaching, 8</w:t>
      </w:r>
      <w:r>
        <w:rPr>
          <w:rFonts w:ascii="Georgia" w:hAnsi="Georgia" w:eastAsia="Georgia" w:cs="Georgia"/>
          <w:i w:val="0"/>
          <w:sz w:val="22"/>
          <w:szCs w:val="22"/>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eastAsia="Georgia" w:cs="Georgia"/>
          <w:i w:val="0"/>
          <w:sz w:val="22"/>
          <w:szCs w:val="22"/>
        </w:rPr>
        <w:t xml:space="preserve">Petchkij, W. (2019). Explicit teaching of hedges: Bringing hedging in academic writing into the Thai EFL classroom. </w:t>
      </w:r>
      <w:r>
        <w:rPr>
          <w:rFonts w:ascii="Georgia" w:hAnsi="Georgia" w:eastAsia="Georgia" w:cs="Georgia"/>
          <w:i/>
          <w:sz w:val="22"/>
          <w:szCs w:val="22"/>
        </w:rPr>
        <w:t>Electronic Journal of Foreign Language Teaching, 16</w:t>
      </w:r>
      <w:r>
        <w:rPr>
          <w:rFonts w:ascii="Georgia" w:hAnsi="Georgia" w:eastAsia="Georgia" w:cs="Georgia"/>
          <w:i w:val="0"/>
          <w:sz w:val="22"/>
          <w:szCs w:val="22"/>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eastAsia="Georgia" w:cs="Georgia"/>
          <w:i w:val="0"/>
          <w:sz w:val="22"/>
          <w:szCs w:val="22"/>
        </w:rPr>
        <w:t xml:space="preserve">Salager-Meyer, F. (1994). Hedges and textual communicative function in medical English written discourse. </w:t>
      </w:r>
      <w:r>
        <w:rPr>
          <w:rFonts w:ascii="Georgia" w:hAnsi="Georgia" w:eastAsia="Georgia" w:cs="Georgia"/>
          <w:i/>
          <w:sz w:val="22"/>
          <w:szCs w:val="22"/>
        </w:rPr>
        <w:t>English for Specific Purposes, 13</w:t>
      </w:r>
      <w:r>
        <w:rPr>
          <w:rFonts w:ascii="Georgia" w:hAnsi="Georgia" w:eastAsia="Georgia" w:cs="Georgia"/>
          <w:i w:val="0"/>
          <w:sz w:val="22"/>
          <w:szCs w:val="22"/>
        </w:rPr>
        <w:t>(2), 149–170. https://doi.org/10.1016/0889-4906(94)90013-2</w:t>
      </w:r>
    </w:p>
    <w:p>
      <w:pPr>
        <w:spacing w:before="0" w:after="0" w:line="480" w:lineRule="auto"/>
        <w:ind w:left="720" w:hanging="720"/>
        <w:jc w:val="left"/>
        <w:rPr/>
      </w:pPr>
      <w:r>
        <w:rPr>
          <w:rFonts w:ascii="Georgia" w:hAnsi="Georgia" w:eastAsia="Georgia" w:cs="Georgia"/>
          <w:i w:val="0"/>
          <w:sz w:val="22"/>
          <w:szCs w:val="22"/>
        </w:rPr>
        <w:t xml:space="preserve">Souici, F., &amp; Slougui, D. (2022). Hedges in biology research articles: What types and frequency do Algerian authors use? </w:t>
      </w:r>
      <w:r>
        <w:rPr>
          <w:rFonts w:ascii="Georgia" w:hAnsi="Georgia" w:eastAsia="Georgia" w:cs="Georgia"/>
          <w:i/>
          <w:sz w:val="22"/>
          <w:szCs w:val="22"/>
        </w:rPr>
        <w:t>Journal of Human Sciences, 33</w:t>
      </w:r>
      <w:r>
        <w:rPr>
          <w:rFonts w:ascii="Georgia" w:hAnsi="Georgia" w:eastAsia="Georgia" w:cs="Georgia"/>
          <w:i w:val="0"/>
          <w:sz w:val="22"/>
          <w:szCs w:val="22"/>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eastAsia="Georgia" w:cs="Georgia"/>
          <w:i w:val="0"/>
          <w:sz w:val="22"/>
          <w:szCs w:val="22"/>
        </w:rPr>
        <w:t xml:space="preserve">Suratno, A., &amp; Aydawati, E. N. (2025). Hedging strategies in non-science theses: A corpus-based analysis of discussion sections. </w:t>
      </w:r>
      <w:r>
        <w:rPr>
          <w:rFonts w:ascii="Georgia" w:hAnsi="Georgia" w:eastAsia="Georgia" w:cs="Georgia"/>
          <w:i/>
          <w:sz w:val="22"/>
          <w:szCs w:val="22"/>
        </w:rPr>
        <w:t>ETERNAL (English Teaching Journal), 16</w:t>
      </w:r>
      <w:r>
        <w:rPr>
          <w:rFonts w:ascii="Georgia" w:hAnsi="Georgia" w:eastAsia="Georgia" w:cs="Georgia"/>
          <w:i w:val="0"/>
          <w:sz w:val="22"/>
          <w:szCs w:val="22"/>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eastAsia="Georgia" w:cs="Georgia"/>
          <w:i w:val="0"/>
          <w:sz w:val="22"/>
          <w:szCs w:val="22"/>
        </w:rPr>
        <w:t xml:space="preserve">Villanueva, V. S. (2014). Hedging devices in Philippine newspaper editorials. </w:t>
      </w:r>
      <w:r>
        <w:rPr>
          <w:rFonts w:ascii="Georgia" w:hAnsi="Georgia" w:eastAsia="Georgia" w:cs="Georgia"/>
          <w:i/>
          <w:sz w:val="22"/>
          <w:szCs w:val="22"/>
        </w:rPr>
        <w:t>Asian Journal of English Language Studies, 2</w:t>
      </w:r>
      <w:r>
        <w:rPr>
          <w:rFonts w:ascii="Georgia" w:hAnsi="Georgia" w:eastAsia="Georgia" w:cs="Georgia"/>
          <w:i w:val="0"/>
          <w:sz w:val="22"/>
          <w:szCs w:val="22"/>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i w:val="0"/>
          <w:sz w:val="22"/>
          <w:szCs w:val="22"/>
        </w:rPr>
        <w:t xml:space="preserve">Wang, X. (2022). </w:t>
      </w:r>
      <w:r>
        <w:rPr>
          <w:rFonts w:ascii="Georgia" w:hAnsi="Georgia" w:eastAsia="Georgia" w:cs="Georgia"/>
          <w:i/>
          <w:sz w:val="22"/>
          <w:szCs w:val="22"/>
        </w:rPr>
        <w:t>Hedging in academic writing: Cross-disciplinary comparisons in the Michigan Corpus of Upper-Level Student Papers (MICUSP)</w:t>
      </w:r>
      <w:r>
        <w:rPr>
          <w:rFonts w:ascii="Georgia" w:hAnsi="Georgia" w:eastAsia="Georgia" w:cs="Georgia"/>
          <w:i w:val="0"/>
          <w:sz w:val="22"/>
          <w:szCs w:val="22"/>
        </w:rPr>
        <w:t xml:space="preserve"> [Preprint]. OSF Preprints. https://osf.io/preprints/edarxiv/5xj27</w:t>
      </w:r>
    </w:p>
    <w:p>
      <w:pPr>
        <w:spacing w:before="0" w:after="0" w:line="480" w:lineRule="auto"/>
        <w:ind w:left="720" w:hanging="720"/>
        <w:jc w:val="left"/>
        <w:rPr/>
        <w:keepLines w:val="1"/>
        <w:widowControl w:val="1"/>
        <w:sectPr>
          <w:headerReference r:id="rId9" w:type="default"/>
          <w:headerReference r:id="rId10" w:type="first"/>
          <w:type w:val="nextPage"/>
          <w:pgSz w:h="16838" w:w="11906" w:orient="portrait"/>
          <w:pgMar w:bottom="1440" w:top="1440" w:left="2160" w:right="1440" w:header="720" w:footer="720"/>
          <w:titlePg w:val="1"/>
        </w:sectPr>
      </w:pPr>
      <w:r>
        <w:rPr>
          <w:rFonts w:ascii="Georgia" w:hAnsi="Georgia" w:eastAsia="Georgia" w:cs="Georgia"/>
          <w:i w:val="0"/>
          <w:sz w:val="22"/>
          <w:szCs w:val="22"/>
        </w:rPr>
        <w:t xml:space="preserve">Xie, S., &amp; Mi, C. (2023). Promotion and caution in research article abstracts: The use of positive, negative and hedge words across disciplines and rankings. </w:t>
      </w:r>
      <w:r>
        <w:rPr>
          <w:rFonts w:ascii="Georgia" w:hAnsi="Georgia" w:eastAsia="Georgia" w:cs="Georgia"/>
          <w:i/>
          <w:sz w:val="22"/>
          <w:szCs w:val="22"/>
        </w:rPr>
        <w:t>Learned Publishing, 36</w:t>
      </w:r>
      <w:r>
        <w:rPr>
          <w:rFonts w:ascii="Georgia" w:hAnsi="Georgia" w:eastAsia="Georgia" w:cs="Georgia"/>
          <w:i w:val="0"/>
          <w:sz w:val="22"/>
          <w:szCs w:val="22"/>
        </w:rPr>
        <w:t>(2), 249–265. https://doi.org/10.1002/leap.1515</w:t>
      </w:r>
    </w:p>
    <w:p w:rsidR="00000000" w:rsidDel="00000000" w:rsidP="00000000" w:rsidRDefault="00000000" w:rsidRPr="00000000" w14:paraId="0000019B">
      <w:pPr>
        <w:keepNext w:val="1"/>
        <w:spacing w:before="240" w:after="240" w:line="240" w:lineRule="auto"/>
        <w:jc w:val="center"/>
        <w:rPr/>
      </w:pPr>
      <w:r>
        <w:rPr>
          <w:rFonts w:ascii="Georgia" w:cs="Georgia" w:eastAsia="Georgia" w:hAnsi="Georgia"/>
          <w:b w:val="1"/>
          <w:bCs w:val="1"/>
          <w:sz w:val="28"/>
          <w:szCs w:val="28"/>
          <w:rtl w:val="0"/>
        </w:rPr>
        <w:t xml:space="preserve">APPENDICES</w:t>
      </w:r>
      <w:r>
        <w:rPr>
          <w:rtl w:val="0"/>
          <w:sz w:val="28"/>
          <w:szCs w:val="28"/>
        </w:rPr>
      </w:r>
    </w:p>
    <w:p w:rsidR="00000000" w:rsidDel="00000000" w:rsidP="00000000" w:rsidRDefault="00000000" w:rsidRPr="00000000" w14:paraId="0000019F">
      <w:pPr>
        <w:spacing w:before="40" w:after="20" w:line="264" w:lineRule="auto"/>
        <w:jc w:val="left"/>
        <w:rPr/>
      </w:pPr>
      <w:r>
        <w:rPr>
          <w:rFonts w:ascii="Georgia" w:cs="Georgia" w:eastAsia="Georgia" w:hAnsi="Georgia"/>
          <w:sz w:val="22"/>
          <w:szCs w:val="22"/>
          <w:rtl w:val="0"/>
          <w:b/>
          <w:bCs/>
        </w:rPr>
        <w:t xml:space="preserve">APPENDIX A: HEDGING CODEBOOK</w:t>
      </w:r>
      <w:r>
        <w:rPr>
          <w:rtl w:val="0"/>
          <w:sz w:val="22"/>
          <w:szCs w:val="22"/>
        </w:rPr>
      </w:r>
    </w:p>
    <w:p w:rsidR="00000000" w:rsidDel="00000000" w:rsidP="00000000" w:rsidRDefault="00000000" w:rsidRPr="00000000" w14:paraId="000001A0">
      <w:pPr>
        <w:spacing w:before="0" w:after="20" w:line="276" w:lineRule="auto"/>
        <w:ind w:left="360" w:hanging="360"/>
        <w:jc w:val="both"/>
        <w:rPr/>
      </w:pPr>
      <w:r>
        <w:rPr>
          <w:rFonts w:ascii="Georgia" w:hAnsi="Georgia" w:cs="Georgia" w:eastAsia="Georgia"/>
          <w:sz w:val="22"/>
          <w:szCs w:val="22"/>
        </w:rPr>
        <w:t>• Lookup: Quick-Reference + Legend (p. 1). Full Codebook from p. 2. Coding sheet columns at end.</w:t>
      </w:r>
    </w:p>
    <w:p w:rsidR="00000000" w:rsidDel="00000000" w:rsidP="00000000" w:rsidRDefault="00000000" w:rsidRPr="00000000" w14:paraId="000001A2">
      <w:pPr>
        <w:spacing w:before="40" w:after="20" w:line="260" w:lineRule="auto"/>
        <w:jc w:val="left"/>
        <w:rPr/>
      </w:pPr>
      <w:r>
        <w:rPr>
          <w:rFonts w:ascii="Georgia" w:hAnsi="Georgia" w:cs="Georgia" w:eastAsia="Georgia"/>
          <w:sz w:val="22"/>
          <w:szCs w:val="22"/>
          <w:rtl w:val="0"/>
          <w:b/>
          <w:bCs/>
        </w:rPr>
        <w:t>QUICK-REFERENCE</w:t>
      </w:r>
      <w:r>
        <w:rPr>
          <w:rtl w:val="0"/>
          <w:sz w:val="22"/>
          <w:szCs w:val="22"/>
        </w:rPr>
      </w:r>
    </w:p>
    <w:p w:rsidR="00000000" w:rsidDel="00000000" w:rsidP="00000000" w:rsidRDefault="00000000" w:rsidRPr="00000000" w14:paraId="000001A3">
      <w:pPr>
        <w:spacing w:before="0" w:after="20" w:line="276" w:lineRule="auto"/>
        <w:ind w:left="360" w:hanging="360"/>
        <w:jc w:val="both"/>
        <w:rPr/>
      </w:pPr>
      <w:r>
        <w:rPr>
          <w:rFonts w:ascii="Georgia" w:hAnsi="Georgia" w:cs="Georgia" w:eastAsia="Georgia"/>
          <w:sz w:val="22"/>
          <w:szCs w:val="22"/>
          <w:rtl w:val="0"/>
        </w:rPr>
        <w:t>• Context decides. A listed word is a hedge only when it works as one in the sentence.</w:t>
      </w:r>
      <w:r>
        <w:rPr>
          <w:rtl w:val="0"/>
          <w:sz w:val="22"/>
          <w:szCs w:val="22"/>
        </w:rPr>
      </w:r>
    </w:p>
    <w:p w:rsidR="00000000" w:rsidDel="00000000" w:rsidP="00000000" w:rsidRDefault="00000000" w:rsidRPr="00000000" w14:paraId="000001A4">
      <w:pPr>
        <w:spacing w:before="20" w:after="20" w:line="260" w:lineRule="auto"/>
        <w:jc w:val="left"/>
        <w:rPr/>
      </w:pPr>
      <w:r>
        <w:rPr>
          <w:rFonts w:ascii="Georgia" w:hAnsi="Georgia" w:cs="Georgia" w:eastAsia="Georgia"/>
          <w:sz w:val="22"/>
          <w:szCs w:val="22"/>
          <w:rtl w:val="0"/>
          <w:b/>
          <w:bCs/>
        </w:rPr>
        <w:t>Types</w:t>
      </w:r>
      <w:r>
        <w:rPr>
          <w:rtl w:val="0"/>
          <w:sz w:val="22"/>
          <w:szCs w:val="22"/>
        </w:rPr>
      </w:r>
    </w:p>
    <w:p w:rsidR="00000000" w:rsidDel="00000000" w:rsidP="00000000" w:rsidRDefault="00000000" w:rsidRPr="00000000" w14:paraId="000001A5">
      <w:pPr>
        <w:spacing w:before="0" w:after="20" w:line="276" w:lineRule="auto"/>
        <w:ind w:left="360" w:hanging="360"/>
        <w:jc w:val="both"/>
        <w:rPr/>
      </w:pPr>
      <w:r>
        <w:rPr>
          <w:rFonts w:ascii="Georgia" w:hAnsi="Georgia" w:cs="Georgia" w:eastAsia="Georgia"/>
          <w:sz w:val="22"/>
          <w:szCs w:val="22"/>
          <w:rtl w:val="0"/>
        </w:rPr>
        <w:t>• Modal: may, might, could, would, should, can (possibility only, not capability or obligation).</w:t>
      </w:r>
      <w:r>
        <w:rPr>
          <w:rtl w:val="0"/>
          <w:sz w:val="22"/>
          <w:szCs w:val="22"/>
        </w:rPr>
      </w:r>
    </w:p>
    <w:p w:rsidR="00000000" w:rsidDel="00000000" w:rsidP="00000000" w:rsidRDefault="00000000" w:rsidRPr="00000000" w14:paraId="000001A6">
      <w:pPr>
        <w:spacing w:before="0" w:after="20" w:line="276" w:lineRule="auto"/>
        <w:ind w:left="360" w:hanging="360"/>
        <w:jc w:val="both"/>
        <w:rPr/>
      </w:pPr>
      <w:r>
        <w:rPr>
          <w:rFonts w:ascii="Georgia" w:hAnsi="Georgia" w:cs="Georgia" w:eastAsia="Georgia"/>
          <w:i w:val="0"/>
          <w:sz w:val="22"/>
          <w:szCs w:val="22"/>
          <w:rtl w:val="0"/>
        </w:rPr>
        <w:t>• Lexical: suggest, indicate, appear, seem, possible, likely, potential (when they qualify a claim and pass Step 2).</w:t>
      </w:r>
      <w:r>
        <w:rPr>
          <w:rtl w:val="0"/>
          <w:sz w:val="22"/>
          <w:szCs w:val="22"/>
        </w:rPr>
      </w:r>
    </w:p>
    <w:p w:rsidR="00000000" w:rsidDel="00000000" w:rsidP="00000000" w:rsidRDefault="00000000" w:rsidRPr="00000000" w14:paraId="000001A7">
      <w:pPr>
        <w:spacing w:before="0" w:after="20" w:line="276" w:lineRule="auto"/>
        <w:ind w:left="360" w:hanging="360"/>
        <w:jc w:val="both"/>
        <w:rPr/>
      </w:pPr>
      <w:r>
        <w:rPr>
          <w:rFonts w:ascii="Georgia" w:hAnsi="Georgia" w:cs="Georgia" w:eastAsia="Georgia"/>
          <w:sz w:val="22"/>
          <w:szCs w:val="22"/>
          <w:rtl w:val="0"/>
        </w:rPr>
        <w:t>• Adverbial: generally, typically, possibly, probably (scope or certainty, not procedural routine).</w:t>
      </w:r>
      <w:r>
        <w:rPr>
          <w:rtl w:val="0"/>
          <w:sz w:val="22"/>
          <w:szCs w:val="22"/>
        </w:rPr>
      </w:r>
    </w:p>
    <w:p w:rsidR="00000000" w:rsidDel="00000000" w:rsidP="00000000" w:rsidRDefault="00000000" w:rsidRPr="00000000" w14:paraId="000001A8">
      <w:pPr>
        <w:spacing w:before="0" w:after="20" w:line="276" w:lineRule="auto"/>
        <w:ind w:left="360" w:hanging="360"/>
        <w:jc w:val="both"/>
        <w:rPr/>
      </w:pPr>
      <w:r>
        <w:rPr>
          <w:rFonts w:ascii="Georgia" w:hAnsi="Georgia" w:cs="Georgia" w:eastAsia="Georgia"/>
          <w:sz w:val="22"/>
          <w:szCs w:val="22"/>
          <w:rtl w:val="0"/>
        </w:rPr>
        <w:t>• Clause-level: it seems that, it is possible that, to some extent.</w:t>
      </w:r>
      <w:r>
        <w:rPr>
          <w:rtl w:val="0"/>
          <w:sz w:val="22"/>
          <w:szCs w:val="22"/>
        </w:rPr>
      </w:r>
    </w:p>
    <w:p w:rsidR="00000000" w:rsidDel="00000000" w:rsidP="00000000" w:rsidRDefault="00000000" w:rsidRPr="00000000" w14:paraId="000001A9">
      <w:pPr>
        <w:spacing w:before="20" w:after="20" w:line="260" w:lineRule="auto"/>
        <w:jc w:val="left"/>
        <w:rPr/>
      </w:pPr>
      <w:r>
        <w:rPr>
          <w:rFonts w:ascii="Georgia" w:hAnsi="Georgia" w:cs="Georgia" w:eastAsia="Georgia"/>
          <w:sz w:val="22"/>
          <w:szCs w:val="22"/>
          <w:rtl w:val="0"/>
        </w:rPr>
        <w:t xml:space="preserve">Functions: EC = uncertainty about a claim’s truth. P = interpersonal softening of a claim. FP = fails the claim condition or both checks (not a function).</w:t>
      </w:r>
    </w:p>
    <w:p w:rsidR="00000000" w:rsidDel="00000000" w:rsidP="00000000" w:rsidRDefault="00000000" w:rsidRPr="00000000" w14:paraId="000001AD">
      <w:pPr>
        <w:spacing w:before="0" w:after="0" w:line="264" w:lineRule="auto"/>
        <w:jc w:val="left"/>
        <w:rPr/>
      </w:pPr>
      <w:r>
        <w:rPr>
          <w:rFonts w:ascii="Georgia" w:hAnsi="Georgia" w:cs="Georgia" w:eastAsia="Georgia"/>
          <w:sz w:val="22"/>
          <w:szCs w:val="22"/>
          <w:rtl w:val="0"/>
        </w:rPr>
        <w:t>Core rules: suggest/indicate finding→hedge, recommendation→FP-Rec; can/may possibility→hedge, capability→FP-Cap; generally/typically claim-limit→hedge, procedural→FP-Proc; appear/seem result-uncertainty→hedge, location→FP-Gen.</w:t>
      </w:r>
    </w:p>
    <w:p>
      <w:pPr>
        <w:spacing w:after="0" w:before="0" w:line="264" w:lineRule="auto"/>
      </w:pPr>
      <w:r>
        <w:rPr>
          <w:rFonts w:ascii="Georgia" w:hAnsi="Georgia" w:cs="Georgia" w:eastAsia="Georgia"/>
          <w:sz w:val="22"/>
          <w:szCs w:val="22"/>
        </w:rPr>
        <w:t xml:space="preserve">Steps 1–3: Step 1 wide-net candidates. Step 2 = claim condition, then Working Test + Reader Test → EC, P, or FP. Step 3 = type on retained P and EC only.</w:t>
      </w:r>
    </w:p>
    <w:p w:rsidR="00000000" w:rsidDel="00000000" w:rsidP="00000000" w:rsidRDefault="00000000" w:rsidRPr="00000000" w14:paraId="00000233">
      <w:pPr>
        <w:spacing w:before="40" w:after="20" w:line="260" w:lineRule="auto"/>
        <w:jc w:val="left"/>
        <w:rPr/>
      </w:pPr>
      <w:r>
        <w:rPr>
          <w:rFonts w:ascii="Georgia" w:hAnsi="Georgia" w:cs="Georgia" w:eastAsia="Georgia"/>
          <w:sz w:val="24"/>
          <w:szCs w:val="24"/>
          <w:rtl w:val="0"/>
          <w:b/>
          <w:bCs/>
        </w:rPr>
        <w:t>QUICK-REFERENCE LEGEND</w:t>
      </w:r>
      <w:r>
        <w:rPr>
          <w:rtl w:val="0"/>
          <w:sz w:val="24"/>
          <w:szCs w:val="24"/>
        </w:rPr>
      </w:r>
    </w:p>
    <w:p w:rsidR="00000000" w:rsidDel="00000000" w:rsidP="00000000" w:rsidRDefault="00000000" w:rsidRPr="00000000" w14:paraId="00000234">
      <w:pPr>
        <w:spacing w:before="0" w:after="20" w:line="276" w:lineRule="auto"/>
        <w:ind w:left="360" w:hanging="360"/>
        <w:jc w:val="both"/>
        <w:rPr/>
      </w:pPr>
      <w:r>
        <w:rPr>
          <w:rFonts w:ascii="Georgia" w:hAnsi="Georgia" w:cs="Georgia" w:eastAsia="Georgia"/>
          <w:i w:val="0"/>
          <w:iCs w:val="0"/>
          <w:sz w:val="22"/>
          <w:szCs w:val="22"/>
          <w:rtl w:val="0"/>
        </w:rPr>
        <w:t>• Highlights = type background on the token. Colored text labels = function. Grey = unhedged verb. Strike + grey code = FP.</w:t>
      </w:r>
      <w:r>
        <w:rPr>
          <w:rtl w:val="0"/>
          <w:sz w:val="22"/>
          <w:szCs w:val="22"/>
        </w:rPr>
      </w:r>
    </w:p>
    <w:tbl>
      <w:tblPr>
        <w:tblStyle w:val="Table11"/>
        <w:tblW w:w="8306"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20" w:after="20" w:line="260" w:lineRule="auto"/>
              <w:jc w:val="both"/>
              <w:rPr/>
            </w:pPr>
            <w:r>
              <w:rPr>
                <w:rFonts w:ascii="Georgia" w:cs="Georgia" w:eastAsia="Georgia" w:hAnsi="Georgia"/>
                <w:sz w:val="18"/>
                <w:szCs w:val="18"/>
                <w:rtl w:val="0"/>
                <w:b/>
                <w:bCs/>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20" w:after="20" w:line="260" w:lineRule="auto"/>
              <w:jc w:val="both"/>
              <w:rPr/>
            </w:pPr>
            <w:r>
              <w:rPr>
                <w:rFonts w:ascii="Georgia" w:cs="Georgia" w:eastAsia="Georgia" w:hAnsi="Georgia"/>
                <w:sz w:val="18"/>
                <w:szCs w:val="18"/>
                <w:rtl w:val="0"/>
                <w:b/>
                <w:bCs/>
              </w:rPr>
              <w:t xml:space="preserve">FUNCTION (Text)</w:t>
            </w:r>
            <w:r>
              <w:rPr>
                <w:rtl w:val="0"/>
                <w:sz w:val="18"/>
                <w:szCs w:val="18"/>
                <w:rFonts w:ascii="Georgia" w:hAnsi="Georgia"/>
              </w:rPr>
            </w:r>
          </w:p>
        </w:tc>
      </w:tr>
      <w:tr>
        <w:trPr>
          <w:cantSplit/>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i w:val="0"/>
                <w:iCs w:val="0"/>
                <w:color w:val="ed7d31"/>
                <w:sz w:val="18"/>
                <w:szCs w:val="18"/>
                <w:rtl w:val="0"/>
              </w:rPr>
              <w:t xml:space="preserve">EC</w:t>
            </w:r>
            <w:r>
              <w:rPr>
                <w:rFonts w:ascii="Georgia" w:cs="Georgia" w:eastAsia="Georgia" w:hAnsi="Georgia"/>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i w:val="0"/>
                <w:iCs w:val="0"/>
                <w:color w:val="7030a0"/>
                <w:sz w:val="18"/>
                <w:szCs w:val="18"/>
                <w:rtl w:val="0"/>
              </w:rPr>
              <w:t xml:space="preserve">P</w:t>
            </w:r>
            <w:r>
              <w:rPr>
                <w:rFonts w:ascii="Georgia" w:cs="Georgia" w:eastAsia="Georgia" w:hAnsi="Georgia"/>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i w:val="0"/>
                <w:iCs w:val="0"/>
                <w:color w:val="8B4513"/>
                <w:sz w:val="18"/>
                <w:szCs w:val="18"/>
                <w:rtl w:val="0"/>
              </w:rPr>
              <w:t xml:space="preserve">—</w:t>
            </w:r>
            <w:r>
              <w:rPr>
                <w:rFonts w:ascii="Georgia" w:cs="Georgia" w:eastAsia="Georgia" w:hAnsi="Georgia"/>
                <w:i w:val="0"/>
                <w:iCs w:val="0"/>
                <w:color w:val="000000"/>
                <w:sz w:val="18"/>
                <w:szCs w:val="18"/>
                <w:rtl w:val="0"/>
              </w:rPr>
              <w:t xml:space="preserve">  </w:t>
            </w:r>
            <w:r>
              <w:rPr>
                <w:rtl w:val="0"/>
                <w:sz w:val="18"/>
                <w:szCs w:val="18"/>
                <w:rFonts w:ascii="Georgia" w:hAnsi="Georgia"/>
              </w:rPr>
            </w:r>
          </w:p>
        </w:tc>
      </w:tr>
      <w:tr>
        <w:trPr>
          <w:cantSplit/>
        </w:trPr>
        <w:tc>
          <w:tcPr/>
          <w:p w:rsidR="00000000" w:rsidDel="00000000" w:rsidP="00000000" w:rsidRDefault="00000000" w:rsidRPr="00000000" w14:paraId="0000023E">
            <w:pPr>
              <w:spacing w:before="0" w:after="0" w:line="240" w:lineRule="auto"/>
              <w:jc w:val="left"/>
              <w:rPr/>
            </w:pPr>
            <w:r>
              <w:rPr>
                <w:rFonts w:ascii="Georgia" w:cs="Georgia" w:eastAsia="Georgia" w:hAnsi="Georgia"/>
                <w:i w:val="0"/>
                <w:iCs w:val="0"/>
                <w:color w:val="000000"/>
                <w:sz w:val="18"/>
                <w:szCs w:val="18"/>
                <w:rtl w:val="0"/>
                <w:b/>
                <w:bCs/>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20" w:line="260" w:lineRule="auto"/>
              <w:jc w:val="both"/>
            </w:pPr>
            <w:r>
              <w:rPr>
                <w:rFonts w:ascii="Georgia" w:hAnsi="Georgia" w:cs="Georgia" w:eastAsia="Georgia"/>
                <w:sz w:val="24"/>
                <w:szCs w:val="24"/>
              </w:rPr>
              <w:t xml:space="preserve">R = Result, G = Generalization, C = Causal. Bracket the subtype beside the mark.</w:t>
            </w:r>
          </w:p>
        </w:tc>
        <w:tc>
          <w:tcPr/>
          <w:p w:rsidR="00000000" w:rsidDel="00000000" w:rsidP="00000000" w:rsidRDefault="00000000" w:rsidRPr="00000000" w14:paraId="00000240">
            <w:pPr>
              <w:spacing w:before="20" w:after="20" w:line="260" w:lineRule="auto"/>
              <w:jc w:val="left"/>
              <w:rPr/>
            </w:pPr>
            <w:r>
              <w:rPr>
                <w:rFonts w:ascii="Georgia" w:cs="Georgia" w:eastAsia="Georgia" w:hAnsi="Georgia"/>
                <w:i w:val="0"/>
                <w:iCs w:val="0"/>
                <w:color w:val="000000"/>
                <w:sz w:val="18"/>
                <w:szCs w:val="18"/>
                <w:rtl w:val="0"/>
                <w:b/>
                <w:bCs/>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20" w:line="260" w:lineRule="auto"/>
              <w:jc w:val="both"/>
            </w:pPr>
            <w:r>
              <w:rPr>
                <w:rFonts w:ascii="Georgia" w:hAnsi="Georgia" w:cs="Georgia" w:eastAsia="Georgia"/>
                <w:sz w:val="24"/>
                <w:szCs w:val="24"/>
              </w:rPr>
              <w:t xml:space="preserve">No highlight. Strike through the token and write the reason code in grey text.</w:t>
            </w:r>
          </w:p>
        </w:tc>
      </w:tr>
    </w:tbl>
    <w:p w:rsidR="00000000" w:rsidDel="00000000" w:rsidP="00000000" w:rsidRDefault="00000000" w:rsidRPr="00000000" w14:paraId="00000243">
      <w:pPr>
        <w:spacing w:before="80" w:after="40" w:line="260" w:lineRule="auto"/>
        <w:jc w:val="left"/>
        <w:rPr/>
        <w:keepNext/>
      </w:pPr>
      <w:r>
        <w:rPr>
          <w:rFonts w:ascii="Georgia" w:hAnsi="Georgia" w:cs="Georgia" w:eastAsia="Georgia"/>
          <w:sz w:val="24"/>
          <w:szCs w:val="24"/>
          <w:rtl w:val="0"/>
          <w:b/>
          <w:bCs/>
        </w:rPr>
        <w:t>COMBINED EXAMPLE</w:t>
      </w:r>
      <w:r>
        <w:rPr>
          <w:rtl w:val="0"/>
          <w:sz w:val="24"/>
          <w:szCs w:val="24"/>
        </w:rPr>
      </w:r>
    </w:p>
    <w:p>
      <w:pPr>
        <w:spacing w:before="0" w:after="40" w:line="260" w:lineRule="auto"/>
        <w:keepNext/>
      </w:pPr>
      <w:r>
        <w:rPr>
          <w:rFonts w:ascii="Georgia" w:hAnsi="Georgia" w:cs="Georgia" w:eastAsia="Georgia"/>
          <w:sz w:val="24"/>
          <w:szCs w:val="24"/>
        </w:rPr>
        <w:t xml:space="preserve">“The results </w:t>
      </w:r>
      <w:r>
        <w:rPr>
          <w:rFonts w:ascii="Georgia" w:hAnsi="Georgia" w:cs="Georgia" w:eastAsia="Georgia"/>
          <w:sz w:val="24"/>
          <w:szCs w:val="24"/>
          <w:shd w:val="clear" w:fill="FF9999" w:color="auto"/>
        </w:rPr>
        <w:t xml:space="preserve">suggested</w:t>
      </w:r>
      <w:r>
        <w:rPr>
          <w:rFonts w:ascii="Georgia" w:hAnsi="Georgia" w:cs="Georgia" w:eastAsia="Georgia"/>
          <w:sz w:val="24"/>
          <w:szCs w:val="24"/>
        </w:rPr>
        <w:t xml:space="preserve"> (Lexical, </w:t>
      </w:r>
      <w:r>
        <w:rPr>
          <w:rFonts w:ascii="Georgia" w:hAnsi="Georgia" w:cs="Georgia" w:eastAsia="Georgia"/>
          <w:sz w:val="24"/>
          <w:szCs w:val="24"/>
          <w:color w:val="ED7D31"/>
          <w:b/>
        </w:rPr>
        <w:t xml:space="preserve">EC</w:t>
      </w:r>
      <w:r>
        <w:rPr>
          <w:rFonts w:ascii="Georgia" w:hAnsi="Georgia" w:cs="Georgia" w:eastAsia="Georgia"/>
          <w:sz w:val="24"/>
          <w:szCs w:val="24"/>
        </w:rPr>
        <w:t xml:space="preserve">) that extracts are </w:t>
      </w:r>
      <w:r>
        <w:rPr>
          <w:rFonts w:ascii="Georgia" w:hAnsi="Georgia" w:cs="Georgia" w:eastAsia="Georgia"/>
          <w:sz w:val="24"/>
          <w:szCs w:val="24"/>
          <w:shd w:val="clear" w:fill="FF9999" w:color="auto"/>
        </w:rPr>
        <w:t xml:space="preserve">potential</w:t>
      </w:r>
      <w:r>
        <w:rPr>
          <w:rFonts w:ascii="Georgia" w:hAnsi="Georgia" w:cs="Georgia" w:eastAsia="Georgia"/>
          <w:sz w:val="24"/>
          <w:szCs w:val="24"/>
        </w:rPr>
        <w:t xml:space="preserve"> (Lexical, </w:t>
      </w:r>
      <w:r>
        <w:rPr>
          <w:rFonts w:ascii="Georgia" w:hAnsi="Georgia" w:cs="Georgia" w:eastAsia="Georgia"/>
          <w:sz w:val="24"/>
          <w:szCs w:val="24"/>
          <w:color w:val="ED7D31"/>
          <w:b/>
        </w:rPr>
        <w:t xml:space="preserve">EC</w:t>
      </w:r>
      <w:r>
        <w:rPr>
          <w:rFonts w:ascii="Georgia" w:hAnsi="Georgia" w:cs="Georgia" w:eastAsia="Georgia"/>
          <w:sz w:val="24"/>
          <w:szCs w:val="24"/>
        </w:rPr>
        <w:t xml:space="preserve">) alternative stains. As prior studies </w:t>
      </w:r>
      <w:r>
        <w:rPr>
          <w:rFonts w:ascii="Georgia" w:hAnsi="Georgia" w:cs="Georgia" w:eastAsia="Georgia"/>
          <w:sz w:val="24"/>
          <w:szCs w:val="24"/>
          <w:shd w:val="clear" w:fill="FF9999" w:color="auto"/>
        </w:rPr>
        <w:t xml:space="preserve">indicated</w:t>
      </w:r>
      <w:r>
        <w:rPr>
          <w:rFonts w:ascii="Georgia" w:hAnsi="Georgia" w:cs="Georgia" w:eastAsia="Georgia"/>
          <w:sz w:val="24"/>
          <w:szCs w:val="24"/>
        </w:rPr>
        <w:t xml:space="preserve"> (Lexical, </w:t>
      </w:r>
      <w:r>
        <w:rPr>
          <w:rFonts w:ascii="Georgia" w:hAnsi="Georgia" w:cs="Georgia" w:eastAsia="Georgia"/>
          <w:sz w:val="24"/>
          <w:szCs w:val="24"/>
          <w:color w:val="7030A0"/>
          <w:b/>
        </w:rPr>
        <w:t xml:space="preserve">P</w:t>
      </w:r>
      <w:r>
        <w:rPr>
          <w:rFonts w:ascii="Georgia" w:hAnsi="Georgia" w:cs="Georgia" w:eastAsia="Georgia"/>
          <w:sz w:val="24"/>
          <w:szCs w:val="24"/>
        </w:rPr>
        <w:t xml:space="preserve">), PCR </w:t>
      </w:r>
      <w:r>
        <w:rPr>
          <w:rFonts w:ascii="Georgia" w:hAnsi="Georgia" w:cs="Georgia" w:eastAsia="Georgia"/>
          <w:sz w:val="24"/>
          <w:szCs w:val="24"/>
          <w:strike/>
        </w:rPr>
        <w:t xml:space="preserve">can</w:t>
      </w:r>
      <w:r>
        <w:rPr>
          <w:rFonts w:ascii="Georgia" w:hAnsi="Georgia" w:cs="Georgia" w:eastAsia="Georgia"/>
          <w:sz w:val="24"/>
          <w:szCs w:val="24"/>
        </w:rPr>
        <w:t xml:space="preserve"> </w:t>
      </w:r>
      <w:r>
        <w:rPr>
          <w:rFonts w:ascii="Georgia" w:hAnsi="Georgia" w:cs="Georgia" w:eastAsia="Georgia"/>
          <w:sz w:val="24"/>
          <w:szCs w:val="24"/>
          <w:color w:val="808080"/>
        </w:rPr>
        <w:t xml:space="preserve">(FP-Cap)</w:t>
      </w:r>
      <w:r>
        <w:rPr>
          <w:rFonts w:ascii="Georgia" w:hAnsi="Georgia" w:cs="Georgia" w:eastAsia="Georgia"/>
          <w:sz w:val="24"/>
          <w:szCs w:val="24"/>
        </w:rPr>
        <w:t xml:space="preserve"> also detect low concentrations. Farmers </w:t>
      </w:r>
      <w:r>
        <w:rPr>
          <w:rFonts w:ascii="Georgia" w:hAnsi="Georgia" w:cs="Georgia" w:eastAsia="Georgia"/>
          <w:sz w:val="24"/>
          <w:szCs w:val="24"/>
          <w:strike/>
        </w:rPr>
        <w:t xml:space="preserve">should</w:t>
      </w:r>
      <w:r>
        <w:rPr>
          <w:rFonts w:ascii="Georgia" w:hAnsi="Georgia" w:cs="Georgia" w:eastAsia="Georgia"/>
          <w:sz w:val="24"/>
          <w:szCs w:val="24"/>
        </w:rPr>
        <w:t xml:space="preserve"> </w:t>
      </w:r>
      <w:r>
        <w:rPr>
          <w:rFonts w:ascii="Georgia" w:hAnsi="Georgia" w:cs="Georgia" w:eastAsia="Georgia"/>
          <w:sz w:val="24"/>
          <w:szCs w:val="24"/>
          <w:color w:val="808080"/>
        </w:rPr>
        <w:t xml:space="preserve">(FP-Rec)</w:t>
      </w:r>
      <w:r>
        <w:rPr>
          <w:rFonts w:ascii="Georgia" w:hAnsi="Georgia" w:cs="Georgia" w:eastAsia="Georgia"/>
          <w:sz w:val="24"/>
          <w:szCs w:val="24"/>
        </w:rPr>
        <w:t xml:space="preserve"> adopt the treatment. In conclusion, T3 produced the highest yield </w:t>
      </w:r>
      <w:r>
        <w:rPr>
          <w:rFonts w:ascii="Georgia" w:hAnsi="Georgia" w:cs="Georgia" w:eastAsia="Georgia"/>
          <w:sz w:val="24"/>
          <w:szCs w:val="24"/>
          <w:color w:val="808080"/>
        </w:rPr>
        <w:t xml:space="preserve">(FP framing)</w:t>
      </w:r>
      <w:r>
        <w:rPr>
          <w:rFonts w:ascii="Georgia" w:hAnsi="Georgia" w:cs="Georgia" w:eastAsia="Georgia"/>
          <w:sz w:val="24"/>
          <w:szCs w:val="24"/>
        </w:rPr>
        <w:t xml:space="preserve">. The treatment </w:t>
      </w:r>
      <w:r>
        <w:rPr>
          <w:rFonts w:ascii="Georgia" w:hAnsi="Georgia" w:cs="Georgia" w:eastAsia="Georgia"/>
          <w:sz w:val="24"/>
          <w:szCs w:val="24"/>
          <w:shd w:val="clear" w:fill="00B0F0" w:color="auto"/>
        </w:rPr>
        <w:t xml:space="preserve">may</w:t>
      </w:r>
      <w:r>
        <w:rPr>
          <w:rFonts w:ascii="Georgia" w:hAnsi="Georgia" w:cs="Georgia" w:eastAsia="Georgia"/>
          <w:sz w:val="24"/>
          <w:szCs w:val="24"/>
        </w:rPr>
        <w:t xml:space="preserve"> (Modal, </w:t>
      </w:r>
      <w:r>
        <w:rPr>
          <w:rFonts w:ascii="Georgia" w:hAnsi="Georgia" w:cs="Georgia" w:eastAsia="Georgia"/>
          <w:sz w:val="24"/>
          <w:szCs w:val="24"/>
          <w:color w:val="ED7D31"/>
          <w:b/>
        </w:rPr>
        <w:t xml:space="preserve">EC</w:t>
      </w:r>
      <w:r>
        <w:rPr>
          <w:rFonts w:ascii="Georgia" w:hAnsi="Georgia" w:cs="Georgia" w:eastAsia="Georgia"/>
          <w:sz w:val="24"/>
          <w:szCs w:val="24"/>
        </w:rPr>
        <w:t xml:space="preserve">) reduce infection rates.”</w:t>
      </w:r>
    </w:p>
    <w:p>
      <w:pPr>
        <w:spacing w:before="0" w:after="40" w:line="260" w:lineRule="auto"/>
      </w:pPr>
      <w:r>
        <w:rPr>
          <w:rFonts w:ascii="Georgia" w:hAnsi="Georgia"/>
          <w:sz w:val="20"/>
          <w:szCs w:val="20"/>
          <w:color w:val="404040"/>
        </w:rPr>
        <w:t xml:space="preserve">Shows: Lexical+Modal types; EC and P functions; FP-Cap, FP-Rec, and framing FP. Type = highlight on the token; function = colored label (EC/P); FP = strike + reason code. Not every abstract will contain P; the P slot is illustrated for coding practice.</w:t>
      </w:r>
    </w:p>
    <w:p w:rsidR="00000000" w:rsidDel="00000000" w:rsidP="00000000" w:rsidRDefault="00000000" w:rsidRPr="00000000" w14:paraId="000001B4">
      <w:pPr>
        <w:spacing w:before="120" w:after="14" w:line="360" w:lineRule="auto"/>
        <w:jc w:val="left"/>
        <w:rPr/>
      </w:pPr>
      <w:r>
        <w:rPr>
          <w:sz w:val="22"/>
          <w:szCs w:val="22"/>
        </w:rPr>
        <w:br w:type="page"/>
      </w:r>
      <w:r>
        <w:rPr>
          <w:rFonts w:ascii="Georgia" w:hAnsi="Georgia" w:cs="Georgia" w:eastAsia="Georgia"/>
          <w:b/>
          <w:bCs w:val="1"/>
          <w:sz w:val="22"/>
          <w:szCs w:val="22"/>
          <w:rtl w:val="0"/>
        </w:rPr>
        <w:t>FULL CODEBOOK</w:t>
      </w:r>
      <w:r>
        <w:rPr>
          <w:rtl w:val="0"/>
          <w:sz w:val="22"/>
          <w:szCs w:val="22"/>
        </w:rPr>
      </w:r>
    </w:p>
    <w:p w:rsidR="00000000" w:rsidDel="00000000" w:rsidP="00000000" w:rsidRDefault="00000000" w:rsidRPr="00000000" w14:paraId="000001B5">
      <w:pPr>
        <w:spacing w:before="40" w:after="14" w:line="360" w:lineRule="auto"/>
        <w:jc w:val="left"/>
        <w:rPr/>
      </w:pPr>
      <w:r>
        <w:rPr>
          <w:rFonts w:ascii="Georgia" w:hAnsi="Georgia" w:cs="Georgia" w:eastAsia="Georgia"/>
          <w:b/>
          <w:bCs w:val="1"/>
          <w:sz w:val="22"/>
          <w:szCs w:val="22"/>
          <w:rtl w:val="0"/>
        </w:rPr>
        <w:t>PURPOSE</w:t>
      </w:r>
      <w:r>
        <w:rPr>
          <w:rtl w:val="0"/>
          <w:sz w:val="22"/>
          <w:szCs w:val="22"/>
        </w:rPr>
      </w:r>
    </w:p>
    <w:p w:rsidR="00000000" w:rsidDel="00000000" w:rsidP="00000000" w:rsidRDefault="00000000" w:rsidRPr="00000000" w14:paraId="000001B6">
      <w:pPr>
        <w:spacing w:before="0" w:after="60" w:line="360" w:lineRule="auto"/>
        <w:ind w:left="360" w:hanging="360"/>
        <w:jc w:val="both"/>
        <w:rPr/>
      </w:pPr>
      <w:r>
        <w:rPr>
          <w:rFonts w:ascii="Georgia" w:hAnsi="Georgia" w:cs="Georgia" w:eastAsia="Georgia"/>
          <w:b w:val="0"/>
          <w:bCs w:val="0"/>
          <w:sz w:val="20"/>
          <w:szCs w:val="20"/>
          <w:rtl w:val="0"/>
        </w:rPr>
        <w:t>• Coding scheme for the PSAU undergraduate thesis abstract corpus, adapted from Hyland (1998) as type instrument.</w:t>
      </w:r>
      <w:r>
        <w:rPr>
          <w:rtl w:val="0"/>
          <w:sz w:val="20"/>
          <w:szCs w:val="20"/>
        </w:rPr>
      </w:r>
    </w:p>
    <w:p w:rsidR="00000000" w:rsidDel="00000000" w:rsidP="00000000" w:rsidRDefault="00000000" w:rsidRPr="00000000" w14:paraId="000001B8">
      <w:pPr>
        <w:spacing w:before="40" w:after="14" w:line="360" w:lineRule="auto"/>
        <w:jc w:val="left"/>
        <w:rPr/>
      </w:pPr>
      <w:r>
        <w:rPr>
          <w:rFonts w:ascii="Georgia" w:hAnsi="Georgia" w:cs="Georgia" w:eastAsia="Georgia"/>
          <w:sz w:val="22"/>
          <w:szCs w:val="22"/>
          <w:rtl w:val="0"/>
          <w:b/>
          <w:bCs w:val="0"/>
        </w:rPr>
        <w:t>STEP 1, STEP 2, STEP 3, AND WORKING TEST</w:t>
      </w:r>
      <w:r>
        <w:rPr>
          <w:rtl w:val="0"/>
          <w:sz w:val="22"/>
          <w:szCs w:val="22"/>
        </w:rPr>
      </w:r>
    </w:p>
    <w:p w:rsidR="00000000" w:rsidDel="00000000" w:rsidP="00000000" w:rsidRDefault="00000000" w:rsidRPr="00000000" w14:paraId="000001B9">
      <w:pPr>
        <w:spacing w:before="0" w:after="60" w:line="360" w:lineRule="auto"/>
        <w:ind w:left="360" w:hanging="360"/>
        <w:jc w:val="both"/>
        <w:rPr/>
      </w:pPr>
      <w:r>
        <w:rPr>
          <w:rFonts w:ascii="Georgia" w:hAnsi="Georgia" w:cs="Georgia" w:eastAsia="Georgia"/>
          <w:i w:val="0"/>
          <w:iCs w:val="0"/>
          <w:color w:val="000000"/>
          <w:sz w:val="20"/>
          <w:szCs w:val="20"/>
          <w:rtl w:val="0"/>
        </w:rPr>
        <w:t xml:space="preserve">
        • Step 1 (wide net). After the holistic read, mark all possible hedge candidates. This step does not count retained hedges.
    </w:t>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tl w:val="0"/>
          <w:sz w:val="20"/>
          <w:szCs w:val="20"/>
        </w:rPr>
      </w:r>
    </w:p>
    <w:p w:rsidR="00000000" w:rsidDel="00000000" w:rsidP="00000000" w:rsidRDefault="00000000" w:rsidRPr="00000000" w14:paraId="00000083">
      <w:pPr>
        <w:spacing w:before="0" w:after="60" w:line="360" w:lineRule="auto"/>
        <w:ind w:left="360" w:hanging="360"/>
        <w:jc w:val="both"/>
        <w:rPr/>
      </w:pPr>
      <w:r>
        <w:rPr>
          <w:rFonts w:ascii="Georgia" w:hAnsi="Georgia" w:cs="Georgia" w:eastAsia="Georgia"/>
          <w:i w:val="0"/>
          <w:iCs w:val="0"/>
          <w:sz w:val="20"/>
          <w:szCs w:val="20"/>
          <w:rtl w:val="0"/>
        </w:rPr>
        <w:t xml:space="preserve">• Step 2 (function by paired removal checks). Claim condition (both tests): a device can only be a hedge if it attaches to a claim. A claim is a statement about data, the world, or prior work that evidence could show to be wrong. Aims, directives, and routine procedure are excluded by kind, not by loose truth-evaluability. If the clause is not a claim, log the token as FP (with a reason code when useful: FP-Rec, FP-Gen, FP-Proc, or FP-Cap). Working Test: remove the device. Does the writer’s commitment to the claim’s truth go up? If yes → EC. Reader Test: remove the device. Does commitment to the truth stay the same, but the claim now reaches the reader more bluntly, or the writer takes sole ownership of it against prior work? If yes → P. Neither → FP (not a function). Both may hold on one token (EC+P). There is no required category pre-filter before these checks. Category codes label residual rejects after the claim condition or both tests fail.</w:t>
      </w:r>
    </w:p>
    <w:p w:rsidR="00000000" w:rsidDel="00000000" w:rsidP="00000000" w:rsidRDefault="00000000" w:rsidRPr="00000000" w14:paraId="000001BA">
      <w:pPr>
        <w:spacing w:before="0" w:after="60" w:line="360" w:lineRule="auto"/>
        <w:ind w:left="360" w:hanging="360"/>
        <w:jc w:val="both"/>
        <w:rPr/>
      </w:pPr>
      <w:r>
        <w:rPr>
          <w:rFonts w:ascii="Georgia" w:hAnsi="Georgia" w:cs="Georgia" w:eastAsia="Georgia"/>
          <w:i w:val="0"/>
          <w:iCs w:val="0"/>
          <w:sz w:val="20"/>
          <w:szCs w:val="20"/>
          <w:rtl w:val="0"/>
        </w:rPr>
        <w:t xml:space="preserve">• Working Test and Reader Test are the Step 2 function gate, after the claim condition. Every Step 1 candidate can be run through the claim condition and the two removal checks. Directives, aim statements, and procedural norms fail the claim condition and are logged FP without needing a prior sort. Category codes (FP-Rec, FP-Cap, FP-Proc, FP-Gen) explain the residual inventory. They do not replace the tests.</w:t>
      </w:r>
    </w:p>
    <w:p w:rsidR="00000000" w:rsidDel="00000000" w:rsidP="00000000" w:rsidRDefault="00000000" w:rsidRPr="00000000" w14:paraId="000001BB">
      <w:pPr>
        <w:spacing w:before="0" w:after="60" w:line="360" w:lineRule="auto"/>
        <w:ind w:left="360" w:hanging="360"/>
        <w:jc w:val="both"/>
        <w:rPr/>
      </w:pPr>
      <w:r>
        <w:rPr>
          <w:rFonts w:ascii="Georgia" w:hAnsi="Georgia" w:cs="Georgia" w:eastAsia="Georgia"/>
          <w:i w:val="0"/>
          <w:iCs w:val="0"/>
          <w:color w:val="000000"/>
          <w:sz w:val="20"/>
          <w:szCs w:val="20"/>
          <w:rtl w:val="0"/>
        </w:rPr>
        <w:t xml:space="preserve">• Step 3 (type). On retained P and EC tokens only, assign grammatical type (modal, lexical, adverbial, clause-level).</w:t>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tl w:val="0"/>
          <w:sz w:val="20"/>
          <w:szCs w:val="20"/>
        </w:rPr>
      </w:r>
    </w:p>
    <w:p w:rsidR="00000000" w:rsidDel="00000000" w:rsidP="00000000" w:rsidRDefault="00000000" w:rsidRPr="00000000" w14:paraId="000001BC">
      <w:pPr>
        <w:spacing w:before="0" w:after="60" w:line="360" w:lineRule="auto"/>
        <w:ind w:left="360" w:hanging="360"/>
        <w:jc w:val="both"/>
        <w:rPr/>
      </w:pPr>
      <w:r>
        <w:rPr>
          <w:rFonts w:ascii="Georgia" w:hAnsi="Georgia" w:cs="Georgia" w:eastAsia="Georgia"/>
          <w:i w:val="0"/>
          <w:iCs w:val="0"/>
          <w:sz w:val="20"/>
          <w:szCs w:val="20"/>
          <w:rtl w:val="0"/>
        </w:rPr>
        <w:t xml:space="preserve">• Order. Coding order: full abstract → Step 1 (wide net) → Step 2 (claim condition, then Working Test and Reader Test) → reason codes on rejects → Step 3 type on retained P and EC → Coder Notes. No mandatory category pre-filter before Step 2.</w:t>
      </w:r>
    </w:p>
    <w:p w:rsidR="00000000" w:rsidDel="00000000" w:rsidP="00000000" w:rsidRDefault="00000000" w:rsidRPr="00000000" w14:paraId="00000083">
      <w:pPr>
        <w:spacing w:before="40" w:after="14" w:line="360" w:lineRule="auto"/>
        <w:jc w:val="left"/>
        <w:rPr/>
      </w:pPr>
      <w:r>
        <w:rPr>
          <w:rFonts w:ascii="Georgia" w:hAnsi="Georgia" w:cs="Georgia" w:eastAsia="Georgia"/>
          <w:sz w:val="22"/>
          <w:szCs w:val="22"/>
          <w:rtl w:val="0"/>
          <w:b/>
          <w:bCs w:val="0"/>
        </w:rPr>
        <w:t xml:space="preserve">
        WORKING EXAMPLES: STEP 2 (WORKING TEST + READER TEST) AND STEP 3 TYPE
    </w:t>
      </w:r>
      <w:r>
        <w:rPr>
          <w:rtl w:val="0"/>
          <w:b w:val="1"/>
          <w:sz w:val="22"/>
          <w:szCs w:val="22"/>
        </w:rPr>
      </w:r>
    </w:p>
    <w:p w:rsidR="00000000" w:rsidDel="00000000" w:rsidP="00000000" w:rsidRDefault="00000000" w:rsidRPr="00000000" w14:paraId="00000083">
      <w:pPr>
        <w:spacing w:before="0" w:after="60" w:line="360" w:lineRule="auto"/>
        <w:ind w:left="360" w:hanging="360"/>
        <w:jc w:val="both"/>
        <w:rPr/>
      </w:pPr>
      <w:r>
        <w:rPr>
          <w:rFonts w:ascii="Georgia" w:hAnsi="Georgia" w:cs="Georgia" w:eastAsia="Georgia"/>
          <w:i w:val="0"/>
          <w:iCs w:val="0"/>
          <w:sz w:val="20"/>
          <w:szCs w:val="20"/>
          <w:rtl w:val="0"/>
        </w:rPr>
        <w:t xml:space="preserve">• Function labels apply to retained hedges after Step 2. Only claim-attached devices can be EC or P. Working Test supports EC when commitment to the claim’s truth rises after removal. Reader Test supports P when truth commitment stays the same but the claim is blunter to the reader or the writer takes sole ownership against prior work.</w:t>
      </w:r>
    </w:p>
    <w:p w:rsidR="00000000" w:rsidDel="00000000" w:rsidP="00000000" w:rsidRDefault="00000000" w:rsidRPr="00000000" w14:paraId="00000083">
      <w:pPr>
        <w:spacing w:before="0" w:after="60" w:line="360" w:lineRule="auto"/>
        <w:ind w:left="360" w:hanging="360"/>
        <w:jc w:val="both"/>
        <w:rPr/>
      </w:pPr>
      <w:r>
        <w:rPr>
          <w:rFonts w:ascii="Georgia" w:hAnsi="Georgia" w:cs="Georgia" w:eastAsia="Georgia"/>
          <w:i w:val="0"/>
          <w:iCs w:val="0"/>
          <w:sz w:val="20"/>
          <w:szCs w:val="20"/>
          <w:rtl w:val="0"/>
        </w:rPr>
        <w:t xml:space="preserve">• EC (Working Test): “The treatment may reduce infection rates.” Host clause is a claim about data or the world. Removing may raises commitment to the claim’s truth → EC.</w:t>
      </w:r>
    </w:p>
    <w:p w:rsidR="00000000" w:rsidDel="00000000" w:rsidP="00000000" w:rsidRDefault="00000000" w:rsidRPr="00000000" w14:paraId="00000083">
      <w:pPr>
        <w:spacing w:before="0" w:after="60" w:line="360" w:lineRule="auto"/>
        <w:ind w:left="360" w:hanging="360"/>
        <w:jc w:val="both"/>
        <w:rPr/>
      </w:pPr>
      <w:r>
        <w:rPr>
          <w:rFonts w:ascii="Georgia" w:hAnsi="Georgia" w:cs="Georgia" w:eastAsia="Georgia"/>
          <w:i w:val="0"/>
          <w:iCs w:val="0"/>
          <w:sz w:val="20"/>
          <w:szCs w:val="20"/>
          <w:rtl w:val="0"/>
        </w:rPr>
        <w:t>• FP-Cap: “PCR can detect low concentrations.” can = capability, not uncertainty about a finding.</w:t>
      </w:r>
      <w:r>
        <w:rPr>
          <w:rtl w:val="0"/>
          <w:sz w:val="20"/>
          <w:szCs w:val="20"/>
        </w:rPr>
      </w:r>
    </w:p>
    <w:p w:rsidR="00000000" w:rsidDel="00000000" w:rsidP="00000000" w:rsidRDefault="00000000" w:rsidRPr="00000000" w14:paraId="00000083">
      <w:pPr>
        <w:spacing w:before="0" w:after="60" w:line="360" w:lineRule="auto"/>
        <w:ind w:left="360" w:hanging="360"/>
        <w:jc w:val="both"/>
        <w:rPr/>
      </w:pPr>
      <w:r>
        <w:rPr>
          <w:rFonts w:ascii="Georgia" w:hAnsi="Georgia" w:cs="Georgia" w:eastAsia="Georgia"/>
          <w:i w:val="0"/>
          <w:iCs w:val="0"/>
          <w:sz w:val="20"/>
          <w:szCs w:val="20"/>
          <w:rtl w:val="0"/>
        </w:rPr>
        <w:t xml:space="preserve">• P (Reader Test): “As suggested by previous researchers, the treatment is effective.” Host clause is a claim. Removing the attribution leaves truth commitment the same but the writer takes sole ownership against prior work → P. By contrast, “Farmers should adopt the treatment” is a directive (excluded by kind) → FP-Rec.</w:t>
      </w:r>
    </w:p>
    <w:p w:rsidR="00000000" w:rsidDel="00000000" w:rsidP="00000000" w:rsidRDefault="00000000" w:rsidRPr="00000000" w14:paraId="00000083">
      <w:pPr>
        <w:spacing w:before="0" w:after="60" w:line="360" w:lineRule="auto"/>
        <w:ind w:left="360" w:hanging="360"/>
        <w:jc w:val="both"/>
        <w:rPr/>
      </w:pPr>
      <w:r>
        <w:rPr>
          <w:rFonts w:ascii="Georgia" w:hAnsi="Georgia" w:cs="Georgia" w:eastAsia="Georgia"/>
          <w:i w:val="0"/>
          <w:iCs w:val="0"/>
          <w:sz w:val="20"/>
          <w:szCs w:val="20"/>
          <w:rtl w:val="0"/>
        </w:rPr>
        <w:t xml:space="preserve">
        • P + EC: Both Working Test and Reader Test hold on one token → EC+P (or dominant label plus dual note in Coder Notes).
    </w:t>
      </w:r>
      <w:r>
        <w:rPr>
          <w:rtl w:val="0"/>
          <w:sz w:val="20"/>
          <w:szCs w:val="20"/>
        </w:rPr>
      </w:r>
    </w:p>
    <w:p w:rsidR="00000000" w:rsidDel="00000000" w:rsidP="00000000" w:rsidRDefault="00000000" w:rsidRPr="00000000" w14:paraId="00000083">
      <w:pPr>
        <w:spacing w:before="0" w:after="60" w:line="360" w:lineRule="auto"/>
        <w:ind w:left="360" w:hanging="360"/>
        <w:jc w:val="both"/>
        <w:rPr/>
      </w:pPr>
      <w:r>
        <w:rPr>
          <w:rFonts w:ascii="Georgia" w:hAnsi="Georgia" w:cs="Georgia" w:eastAsia="Georgia"/>
          <w:i w:val="0"/>
          <w:iCs w:val="0"/>
          <w:sz w:val="20"/>
          <w:szCs w:val="20"/>
          <w:rtl w:val="0"/>
        </w:rPr>
        <w:t xml:space="preserve">
        • FP: “In conclusion, T3 produced the highest yield.” Removing the frame changes neither truth-commitment nor interpersonal imposition toward readers/prior work → FP. Not a function label.
    </w:t>
      </w:r>
      <w:r>
        <w:rPr>
          <w:rtl w:val="0"/>
          <w:sz w:val="20"/>
          <w:szCs w:val="20"/>
        </w:rPr>
      </w:r>
    </w:p>
    <w:p w:rsidR="00000000" w:rsidDel="00000000" w:rsidP="00000000" w:rsidRDefault="00000000" w:rsidRPr="00000000" w14:paraId="00000083">
      <w:pPr>
        <w:spacing w:before="0" w:after="60" w:line="360" w:lineRule="auto"/>
        <w:ind w:left="360" w:hanging="360"/>
        <w:jc w:val="both"/>
        <w:rPr/>
      </w:pPr>
      <w:r>
        <w:rPr>
          <w:rFonts w:ascii="Georgia" w:hAnsi="Georgia" w:cs="Georgia" w:eastAsia="Georgia"/>
          <w:i w:val="0"/>
          <w:iCs w:val="0"/>
          <w:sz w:val="20"/>
          <w:szCs w:val="20"/>
          <w:rtl w:val="0"/>
        </w:rPr>
        <w:t xml:space="preserve">• Frame + separate EC: “It should be noted that the results may indicate growth.” Code may via Working Test as EC. The frame alone fails the claim condition or both checks and is not a second hedge.</w:t>
      </w:r>
    </w:p>
    <w:p w:rsidR="00000000" w:rsidDel="00000000" w:rsidP="00000000" w:rsidRDefault="00000000" w:rsidRPr="00000000" w14:paraId="00000083">
      <w:pPr>
        <w:spacing w:before="0" w:after="60" w:line="360" w:lineRule="auto"/>
        <w:ind w:left="360" w:hanging="360"/>
        <w:jc w:val="both"/>
        <w:rPr/>
      </w:pPr>
      <w:r>
        <w:rPr>
          <w:rFonts w:ascii="Georgia" w:hAnsi="Georgia" w:cs="Georgia" w:eastAsia="Georgia"/>
          <w:i w:val="0"/>
          <w:iCs w:val="0"/>
          <w:sz w:val="20"/>
          <w:szCs w:val="20"/>
          <w:rtl w:val="0"/>
        </w:rPr>
        <w:t xml:space="preserve">• Summary: Step 1 is wide. Step 2 uses a claim condition, then the Working Test (EC) and Reader Test (P). Non-claims fail the claim condition and are FP. Neither removal check met → FP (not a function). Step 3 assigns type to retained hedges only. In this corpus all 65 retained tokens were EC. No P forms appeared on claims. FP cases are inventoried separately with reason codes.</w:t>
      </w:r>
    </w:p>
    <w:p w:rsidR="00000000" w:rsidDel="00000000" w:rsidP="00000000" w:rsidRDefault="00000000" w:rsidRPr="00000000" w14:paraId="000001BE">
      <w:pPr>
        <w:spacing w:before="40" w:after="14" w:line="360" w:lineRule="auto"/>
        <w:jc w:val="left"/>
        <w:rPr/>
      </w:pPr>
      <w:r>
        <w:rPr>
          <w:rFonts w:ascii="Georgia" w:hAnsi="Georgia" w:cs="Georgia" w:eastAsia="Georgia"/>
          <w:b/>
          <w:bCs w:val="1"/>
          <w:sz w:val="22"/>
          <w:szCs w:val="22"/>
          <w:rtl w:val="0"/>
        </w:rPr>
        <w:t>HEDGE TYPE (PRIMARY COLORS)</w:t>
      </w:r>
      <w:r>
        <w:rPr>
          <w:rtl w:val="0"/>
          <w:sz w:val="22"/>
          <w:szCs w:val="22"/>
        </w:rPr>
      </w:r>
    </w:p>
    <w:p w:rsidR="00000000" w:rsidDel="00000000" w:rsidP="00000000" w:rsidRDefault="00000000" w:rsidRPr="00000000" w14:paraId="000001BF">
      <w:pPr>
        <w:spacing w:before="0" w:after="8" w:line="360" w:lineRule="auto"/>
        <w:ind w:firstLine="720"/>
        <w:jc w:val="both"/>
        <w:rPr/>
      </w:pPr>
      <w:r>
        <w:rPr>
          <w:rFonts w:ascii="Georgia" w:cs="Georgia" w:eastAsia="Georgia" w:hAnsi="Georgia"/>
          <w:b w:val="0"/>
          <w:bCs w:val="0"/>
          <w:i w:val="0"/>
          <w:iCs w:val="0"/>
          <w:sz w:val="20"/>
          <w:szCs w:val="20"/>
          <w:rtl w:val="0"/>
        </w:rPr>
        <w:t xml:space="preserve">Highlight each hedge token in the color matching its grammatical form.</w:t>
      </w:r>
      <w:r>
        <w:rPr>
          <w:rtl w:val="0"/>
          <w:sz w:val="20"/>
          <w:szCs w:val="20"/>
        </w:rPr>
      </w:r>
    </w:p>
    <w:tbl>
      <w:tblPr>
        <w:tblStyle w:val="Table6"/>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6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6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6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6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6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6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6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6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6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6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6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6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6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6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6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spacing w:before="0" w:after="8" w:line="360" w:lineRule="auto"/>
        <w:ind/>
        <w:jc w:val="both"/>
        <w:rPr/>
      </w:pPr>
      <w:r>
        <w:rPr>
          <w:rFonts w:ascii="Georgia" w:hAnsi="Georgia" w:cs="Georgia" w:eastAsia="Georgia"/>
          <w:b w:val="0"/>
          <w:bCs w:val="0"/>
          <w:i w:val="1"/>
          <w:iCs w:val="1"/>
          <w:color w:val="000000"/>
          <w:sz w:val="20"/>
          <w:szCs w:val="20"/>
          <w:rtl w:val="0"/>
        </w:rPr>
        <w:t>Exclusions (capability, recommendation, procedural norm, location) are in the Decision Rules table.</w:t>
      </w:r>
      <w:r>
        <w:rPr>
          <w:rFonts w:ascii="Georgia" w:cs="Georgia" w:eastAsia="Georgia" w:hAnsi="Georgia"/>
          <w:b w:val="1"/>
          <w:bCs w:val="1"/>
          <w:i w:val="1"/>
          <w:iCs w:val="1"/>
          <w:color w:val="000000"/>
          <w:sz w:val="20"/>
          <w:szCs w:val="20"/>
          <w:rtl w:val="0"/>
        </w:rPr>
      </w:r>
      <w:r>
        <w:rPr>
          <w:rFonts w:ascii="Georgia" w:cs="Georgia" w:eastAsia="Georgia" w:hAnsi="Georgia"/>
          <w:b w:val="0"/>
          <w:bCs w:val="0"/>
          <w:i w:val="1"/>
          <w:iCs w:val="1"/>
          <w:color w:val="000000"/>
          <w:sz w:val="20"/>
          <w:szCs w:val="20"/>
          <w:rtl w:val="0"/>
        </w:rPr>
      </w:r>
      <w:r>
        <w:rPr>
          <w:rtl w:val="0"/>
          <w:sz w:val="20"/>
          <w:szCs w:val="20"/>
        </w:rPr>
      </w:r>
    </w:p>
    <w:p w:rsidR="00000000" w:rsidDel="00000000" w:rsidP="00000000" w:rsidRDefault="00000000" w:rsidRPr="00000000" w14:paraId="000001D6">
      <w:pPr>
        <w:spacing w:before="0" w:after="60" w:line="360" w:lineRule="auto"/>
        <w:ind w:left="360" w:hanging="360"/>
        <w:jc w:val="both"/>
        <w:rPr/>
      </w:pPr>
      <w:r>
        <w:rPr>
          <w:rFonts w:ascii="Georgia" w:hAnsi="Georgia" w:cs="Georgia" w:eastAsia="Georgia"/>
          <w:b w:val="0"/>
          <w:i w:val="0"/>
          <w:iCs w:val="0"/>
          <w:sz w:val="20"/>
          <w:szCs w:val="20"/>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tl w:val="0"/>
          <w:sz w:val="20"/>
          <w:szCs w:val="20"/>
        </w:rPr>
      </w:r>
    </w:p>
    <w:p w:rsidR="00000000" w:rsidDel="00000000" w:rsidP="00000000" w:rsidRDefault="00000000" w:rsidRPr="00000000" w14:paraId="000001D8">
      <w:pPr>
        <w:spacing w:before="40" w:after="14" w:line="360" w:lineRule="auto"/>
        <w:jc w:val="left"/>
        <w:rPr/>
      </w:pPr>
      <w:r>
        <w:rPr>
          <w:rFonts w:ascii="Georgia" w:hAnsi="Georgia" w:cs="Georgia" w:eastAsia="Georgia"/>
          <w:b/>
          <w:bCs w:val="1"/>
          <w:sz w:val="22"/>
          <w:szCs w:val="22"/>
          <w:rtl w:val="0"/>
        </w:rPr>
        <w:t>HEDGE FUNCTION (COLORED TEXT LABELS)</w:t>
      </w:r>
      <w:r>
        <w:rPr>
          <w:rtl w:val="0"/>
          <w:sz w:val="22"/>
          <w:szCs w:val="22"/>
        </w:rPr>
      </w:r>
    </w:p>
    <w:tbl>
      <w:tblPr>
        <w:tblStyle w:val="Table7"/>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6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1DD">
            <w:pPr>
              <w:spacing w:before="0" w:after="0" w:line="26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6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6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6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1">
            <w:pPr>
              <w:spacing w:before="0" w:after="0" w:line="26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6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6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6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5">
            <w:pPr>
              <w:spacing w:before="0" w:after="0" w:line="260" w:lineRule="auto"/>
              <w:jc w:val="left"/>
              <w:rPr/>
            </w:pPr>
            <w:r>
              <w:rPr>
                <w:rFonts w:ascii="Georgia" w:cs="Georgia" w:eastAsia="Georgia" w:hAnsi="Georgia"/>
                <w:b w:val="1"/>
                <w:bCs w:val="1"/>
                <w:i w:val="0"/>
                <w:iCs w:val="0"/>
                <w:color w:val="8B4513"/>
                <w:sz w:val="18"/>
                <w:szCs w:val="18"/>
                <w:rtl w:val="0"/>
              </w:rPr>
              <w:t xml:space="preserve">FP</w:t>
            </w:r>
            <w:r>
              <w:rPr>
                <w:rtl w:val="0"/>
                <w:sz w:val="18"/>
                <w:szCs w:val="18"/>
                <w:rFonts w:ascii="Georgia" w:hAnsi="Georgia"/>
              </w:rPr>
            </w:r>
          </w:p>
        </w:tc>
        <w:tc>
          <w:tcPr/>
          <w:p w:rsidR="00000000" w:rsidDel="00000000" w:rsidP="00000000" w:rsidRDefault="00000000" w:rsidRPr="00000000" w14:paraId="000001E6">
            <w:pPr>
              <w:spacing w:before="0" w:after="0" w:line="260" w:lineRule="auto"/>
              <w:jc w:val="both"/>
              <w:rPr/>
            </w:pPr>
            <w:r>
              <w:rPr>
                <w:rFonts w:ascii="Georgia" w:cs="Georgia" w:eastAsia="Georgia" w:hAnsi="Georgia"/>
                <w:sz w:val="18"/>
                <w:szCs w:val="18"/>
                <w:rtl w:val="0"/>
              </w:rPr>
              <w:t xml:space="preserve">(not a function)</w:t>
            </w:r>
            <w:r>
              <w:rPr>
                <w:rtl w:val="0"/>
                <w:sz w:val="18"/>
                <w:szCs w:val="18"/>
                <w:rFonts w:ascii="Georgia" w:hAnsi="Georgia"/>
              </w:rPr>
            </w:r>
          </w:p>
        </w:tc>
        <w:tc>
          <w:tcPr/>
          <w:p w:rsidR="00000000" w:rsidDel="00000000" w:rsidP="00000000" w:rsidRDefault="00000000" w:rsidRPr="00000000" w14:paraId="000001E7">
            <w:pPr>
              <w:spacing w:before="0" w:after="0" w:line="260" w:lineRule="auto"/>
              <w:jc w:val="both"/>
              <w:rPr/>
            </w:pPr>
            <w:r>
              <w:rPr>
                <w:rFonts w:ascii="Georgia" w:cs="Georgia" w:eastAsia="Georgia" w:hAnsi="Georgia"/>
                <w:sz w:val="18"/>
                <w:szCs w:val="18"/>
                <w:rtl w:val="0"/>
              </w:rPr>
              <w:t xml:space="preserve">Fails Working Test and Reader Test</w:t>
            </w:r>
            <w:r>
              <w:rPr>
                <w:rtl w:val="0"/>
                <w:sz w:val="18"/>
                <w:szCs w:val="18"/>
                <w:rFonts w:ascii="Georgia" w:hAnsi="Georgia"/>
              </w:rPr>
            </w:r>
          </w:p>
        </w:tc>
        <w:tc>
          <w:tcPr/>
          <w:p w:rsidR="00000000" w:rsidDel="00000000" w:rsidP="00000000" w:rsidRDefault="00000000" w:rsidRPr="00000000" w14:paraId="000001E8">
            <w:pPr>
              <w:spacing w:before="0" w:after="0" w:line="260" w:lineRule="auto"/>
              <w:jc w:val="both"/>
              <w:rPr/>
            </w:pPr>
            <w:r>
              <w:rPr>
                <w:rFonts w:ascii="Georgia" w:cs="Georgia" w:eastAsia="Georgia" w:hAnsi="Georgia"/>
                <w:b w:val="0"/>
                <w:bCs w:val="0"/>
                <w:i w:val="0"/>
                <w:iCs w:val="0"/>
                <w:color w:val="000000"/>
                <w:sz w:val="18"/>
                <w:szCs w:val="18"/>
                <w:rtl w:val="0"/>
              </w:rPr>
              <w:t xml:space="preserve">“In conclusion, T3 produced the highest yield.”</w:t>
            </w:r>
            <w:r>
              <w:rPr>
                <w:rFonts w:ascii="Georgia" w:cs="Georgia" w:eastAsia="Georgia" w:hAnsi="Georgia"/>
                <w:b w:val="1"/>
                <w:bCs w:val="1"/>
                <w:strike w:val="0"/>
                <w:color w:val="ffffff"/>
                <w:sz w:val="18"/>
                <w:szCs w:val="18"/>
                <w:shd w:fill="00b050" w:val="clear"/>
                <w:rtl w:val="0"/>
              </w:rPr>
              <w:t xml:space="preserve"/>
            </w:r>
            <w:r>
              <w:rPr>
                <w:rFonts w:ascii="Georgia" w:cs="Georgia" w:eastAsia="Georgia" w:hAnsi="Georgia"/>
                <w:b w:val="0"/>
                <w:bCs w:val="0"/>
                <w:i w:val="0"/>
                <w:iCs w:val="0"/>
                <w:color w:val="000000"/>
                <w:sz w:val="18"/>
                <w:szCs w:val="18"/>
                <w:rtl w:val="0"/>
              </w:rPr>
              <w:t xml:space="preserve"/>
            </w:r>
            <w:r>
              <w:rPr>
                <w:rFonts w:ascii="Georgia" w:cs="Georgia" w:eastAsia="Georgia" w:hAnsi="Georgia"/>
                <w:b w:val="1"/>
                <w:bCs w:val="1"/>
                <w:i w:val="0"/>
                <w:iCs w:val="0"/>
                <w:sz w:val="18"/>
                <w:szCs w:val="18"/>
                <w:rtl w:val="0"/>
                <w:color w:val="8B4513"/>
              </w:rPr>
              <w:t xml:space="preserve"/>
            </w:r>
            <w:r>
              <w:rPr>
                <w:rFonts w:ascii="Georgia" w:cs="Georgia" w:eastAsia="Georgia" w:hAnsi="Georgia"/>
                <w:b w:val="0"/>
                <w:bCs w:val="0"/>
                <w:i w:val="0"/>
                <w:iCs w:val="0"/>
                <w:color w:val="000000"/>
                <w:sz w:val="18"/>
                <w:szCs w:val="18"/>
                <w:rtl w:val="0"/>
              </w:rPr>
              <w:t xml:space="preserve"/>
            </w:r>
            <w:r>
              <w:rPr>
                <w:rtl w:val="0"/>
                <w:sz w:val="18"/>
                <w:szCs w:val="18"/>
                <w:rFonts w:ascii="Georgia" w:hAnsi="Georgia"/>
              </w:rPr>
            </w:r>
          </w:p>
        </w:tc>
      </w:tr>
    </w:tbl>
    <w:p w:rsidR="00000000" w:rsidDel="00000000" w:rsidP="00000000" w:rsidRDefault="00000000" w:rsidRPr="00000000" w14:paraId="000001EA">
      <w:pPr>
        <w:spacing w:before="40" w:after="14" w:line="360" w:lineRule="auto"/>
        <w:jc w:val="left"/>
        <w:rPr/>
      </w:pPr>
      <w:r>
        <w:rPr>
          <w:rFonts w:ascii="Georgia" w:cs="Georgia" w:eastAsia="Georgia" w:hAnsi="Georgia"/>
          <w:b w:val="1"/>
          <w:bCs w:val="1"/>
          <w:sz w:val="22"/>
          <w:szCs w:val="22"/>
          <w:rtl w:val="0"/>
        </w:rPr>
        <w:t xml:space="preserve">DECISION RULES FOR AMBIGUOUS CASES</w:t>
      </w:r>
      <w:r>
        <w:rPr>
          <w:rtl w:val="0"/>
          <w:sz w:val="22"/>
          <w:szCs w:val="22"/>
        </w:rPr>
      </w:r>
    </w:p>
    <w:p w:rsidR="00000000" w:rsidDel="00000000" w:rsidP="00000000" w:rsidRDefault="00000000" w:rsidRPr="00000000" w14:paraId="000001EB">
      <w:pPr>
        <w:spacing w:before="0" w:after="8" w:line="360" w:lineRule="auto"/>
        <w:ind w:firstLine="720"/>
        <w:jc w:val="both"/>
        <w:rPr/>
      </w:pPr>
      <w:r>
        <w:rPr>
          <w:rFonts w:ascii="Georgia" w:cs="Georgia" w:eastAsia="Georgia" w:hAnsi="Georgia"/>
          <w:b w:val="0"/>
          <w:bCs w:val="0"/>
          <w:i w:val="0"/>
          <w:iCs w:val="0"/>
          <w:sz w:val="20"/>
          <w:szCs w:val="20"/>
          <w:rtl w:val="0"/>
        </w:rPr>
        <w:t xml:space="preserve">Reason codes for residual rejects after the claim condition or both removal checks fail. Use the table below when labeling an FP. These codes are not a pre-filter before Step 2.</w:t>
      </w:r>
    </w:p>
    <w:tbl>
      <w:tblPr>
        <w:tblStyle w:val="Table8"/>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6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6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trPr>
        <w:tc>
          <w:tcPr/>
          <w:p w:rsidR="00000000" w:rsidDel="00000000" w:rsidP="00000000" w:rsidRDefault="00000000" w:rsidRPr="00000000" w14:paraId="000001EF">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6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6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trPr>
        <w:tc>
          <w:tcPr/>
          <w:p w:rsidR="00000000" w:rsidDel="00000000" w:rsidP="00000000" w:rsidRDefault="00000000" w:rsidRPr="00000000" w14:paraId="000001F2">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6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6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trPr>
        <w:tc>
          <w:tcPr/>
          <w:p w:rsidR="00000000" w:rsidDel="00000000" w:rsidP="00000000" w:rsidRDefault="00000000" w:rsidRPr="00000000" w14:paraId="000001F5">
            <w:pPr>
              <w:spacing w:before="0" w:after="0" w:line="26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6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6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trPr>
        <w:tc>
          <w:tcPr/>
          <w:p w:rsidR="00000000" w:rsidDel="00000000" w:rsidP="00000000" w:rsidRDefault="00000000" w:rsidRPr="00000000" w14:paraId="000001F8">
            <w:pPr>
              <w:spacing w:before="0" w:after="0" w:line="26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6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6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trPr>
        <w:tc>
          <w:tcPr/>
          <w:p w:rsidR="00000000" w:rsidDel="00000000" w:rsidP="00000000" w:rsidRDefault="00000000" w:rsidRPr="00000000" w14:paraId="000001FB">
            <w:pPr>
              <w:spacing w:before="0" w:after="0" w:line="26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6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6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trPr>
        <w:tc>
          <w:tcPr/>
          <w:p w:rsidR="00000000" w:rsidDel="00000000" w:rsidP="00000000" w:rsidRDefault="00000000" w:rsidRPr="00000000" w14:paraId="000001FE">
            <w:pPr>
              <w:spacing w:before="0" w:after="0" w:line="26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6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6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trPr>
        <w:tc>
          <w:tcPr/>
          <w:p w:rsidR="00000000" w:rsidDel="00000000" w:rsidP="00000000" w:rsidRDefault="00000000" w:rsidRPr="00000000" w14:paraId="00000201">
            <w:pPr>
              <w:spacing w:before="0" w:after="0" w:line="26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6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6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trPr>
        <w:tc>
          <w:tcPr/>
          <w:p w:rsidR="00000000" w:rsidDel="00000000" w:rsidP="00000000" w:rsidRDefault="00000000" w:rsidRPr="00000000" w14:paraId="00000204">
            <w:pPr>
              <w:spacing w:before="0" w:after="0" w:line="26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6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6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0" w:after="8" w:line="360" w:lineRule="auto"/>
        <w:ind w:firstLine="720"/>
        <w:jc w:val="both"/>
        <w:rPr/>
      </w:pPr>
      <w:r>
        <w:rPr>
          <w:rFonts w:ascii="Georgia" w:cs="Georgia" w:eastAsia="Georgia" w:hAnsi="Georgia"/>
          <w:b w:val="1"/>
          <w:bCs w:val="1"/>
          <w:i w:val="1"/>
          <w:iCs w:val="1"/>
          <w:color w:val="000000"/>
          <w:sz w:val="20"/>
          <w:szCs w:val="20"/>
          <w:rtl w:val="0"/>
        </w:rPr>
        <w:t xml:space="preserve">General exclusions: </w:t>
      </w:r>
      <w:r>
        <w:rPr>
          <w:rFonts w:ascii="Georgia" w:cs="Georgia" w:eastAsia="Georgia" w:hAnsi="Georgia"/>
          <w:b w:val="0"/>
          <w:bCs w:val="0"/>
          <w:i w:val="1"/>
          <w:iCs w:val="1"/>
          <w:color w:val="000000"/>
          <w:sz w:val="20"/>
          <w:szCs w:val="20"/>
          <w:rtl w:val="0"/>
        </w:rPr>
        <w:t xml:space="preserve">ability, future procedure, and procedural necessity (a step required by the procedure itself) are never coded as hedges.</w:t>
      </w:r>
      <w:r>
        <w:rPr>
          <w:rtl w:val="0"/>
          <w:sz w:val="20"/>
          <w:szCs w:val="20"/>
        </w:rPr>
      </w:r>
    </w:p>
    <w:p w:rsidR="00000000" w:rsidDel="00000000" w:rsidP="00000000" w:rsidRDefault="00000000" w:rsidRPr="00000000" w14:paraId="00000209">
      <w:pPr>
        <w:spacing w:before="0" w:after="8" w:line="360" w:lineRule="auto"/>
        <w:ind w:firstLine="720"/>
        <w:jc w:val="both"/>
        <w:rPr/>
      </w:pPr>
      <w:r>
        <w:rPr>
          <w:rFonts w:ascii="Georgia" w:cs="Georgia" w:eastAsia="Georgia" w:hAnsi="Georgia"/>
          <w:b w:val="0"/>
          <w:bCs w:val="0"/>
          <w:i w:val="1"/>
          <w:iCs w:val="1"/>
          <w:color w:val="000000"/>
          <w:sz w:val="20"/>
          <w:szCs w:val="20"/>
          <w:rtl w:val="0"/>
        </w:rPr>
        <w:t xml:space="preserve">Quick test for </w:t>
      </w:r>
      <w:r>
        <w:rPr>
          <w:rFonts w:ascii="Georgia" w:cs="Georgia" w:eastAsia="Georgia" w:hAnsi="Georgia"/>
          <w:b w:val="1"/>
          <w:bCs w:val="1"/>
          <w:i w:val="1"/>
          <w:iCs w:val="1"/>
          <w:color w:val="000000"/>
          <w:sz w:val="20"/>
          <w:szCs w:val="20"/>
          <w:rtl w:val="0"/>
        </w:rPr>
        <w:t xml:space="preserve">suggest/indicate</w:t>
      </w:r>
      <w:r>
        <w:rPr>
          <w:rFonts w:ascii="Georgia" w:cs="Georgia" w:eastAsia="Georgia" w:hAnsi="Georgia"/>
          <w:b w:val="0"/>
          <w:bCs w:val="0"/>
          <w:i w:val="1"/>
          <w:iCs w:val="1"/>
          <w:color w:val="000000"/>
          <w:sz w:val="20"/>
          <w:szCs w:val="20"/>
          <w:rtl w:val="0"/>
        </w:rPr>
        <w:t xml:space="preserve">: “Might this be true?” = hedge. “Should this be done?” = FP-Rec.</w:t>
      </w:r>
      <w:r>
        <w:rPr>
          <w:rtl w:val="0"/>
          <w:sz w:val="20"/>
          <w:szCs w:val="20"/>
        </w:rPr>
      </w:r>
    </w:p>
    <w:p w:rsidR="00000000" w:rsidDel="00000000" w:rsidP="00000000" w:rsidRDefault="00000000" w:rsidRPr="00000000" w14:paraId="0000020B">
      <w:pPr>
        <w:spacing w:before="40" w:after="14" w:line="360" w:lineRule="auto"/>
        <w:jc w:val="left"/>
        <w:rPr/>
      </w:pPr>
      <w:r>
        <w:rPr>
          <w:rFonts w:ascii="Georgia" w:cs="Georgia" w:eastAsia="Georgia" w:hAnsi="Georgia"/>
          <w:b w:val="1"/>
          <w:bCs w:val="1"/>
          <w:sz w:val="22"/>
          <w:szCs w:val="22"/>
          <w:rtl w:val="0"/>
        </w:rPr>
        <w:t xml:space="preserve">MARKING FALSE POSITIVES</w:t>
      </w:r>
      <w:r>
        <w:rPr>
          <w:rtl w:val="0"/>
          <w:sz w:val="22"/>
          <w:szCs w:val="22"/>
        </w:rPr>
      </w:r>
    </w:p>
    <w:p w:rsidR="00000000" w:rsidDel="00000000" w:rsidP="00000000" w:rsidRDefault="00000000" w:rsidRPr="00000000" w14:paraId="0000020C">
      <w:pPr>
        <w:spacing w:before="0" w:after="8" w:line="360" w:lineRule="auto"/>
        <w:ind w:firstLine="720"/>
        <w:jc w:val="both"/>
        <w:rPr/>
      </w:pPr>
      <w:r>
        <w:rPr>
          <w:rFonts w:ascii="Georgia" w:cs="Georgia" w:eastAsia="Georgia" w:hAnsi="Georgia"/>
          <w:b w:val="0"/>
          <w:bCs w:val="0"/>
          <w:i w:val="0"/>
          <w:iCs w:val="0"/>
          <w:sz w:val="20"/>
          <w:szCs w:val="20"/>
          <w:rtl w:val="0"/>
        </w:rPr>
        <w:t xml:space="preserve">Strike through a hedge-like token that fails the Working Test. Write the reason code beside it in grey text.</w:t>
      </w:r>
      <w:r>
        <w:rPr>
          <w:rtl w:val="0"/>
          <w:sz w:val="20"/>
          <w:szCs w:val="20"/>
        </w:rPr>
      </w:r>
    </w:p>
    <w:tbl>
      <w:tblPr>
        <w:tblStyle w:val="Table9"/>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6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6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210">
            <w:pPr>
              <w:spacing w:before="0" w:after="0" w:line="26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6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6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trPr>
        <w:tc>
          <w:tcPr/>
          <w:p w:rsidR="00000000" w:rsidDel="00000000" w:rsidP="00000000" w:rsidRDefault="00000000" w:rsidRPr="00000000" w14:paraId="00000213">
            <w:pPr>
              <w:spacing w:before="0" w:after="0" w:line="26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6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6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trPr>
        <w:tc>
          <w:tcPr/>
          <w:p w:rsidR="00000000" w:rsidDel="00000000" w:rsidP="00000000" w:rsidRDefault="00000000" w:rsidRPr="00000000" w14:paraId="00000216">
            <w:pPr>
              <w:spacing w:before="0" w:after="0" w:line="26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6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6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trPr>
        <w:tc>
          <w:tcPr/>
          <w:p w:rsidR="00000000" w:rsidDel="00000000" w:rsidP="00000000" w:rsidRDefault="00000000" w:rsidRPr="00000000" w14:paraId="00000219">
            <w:pPr>
              <w:spacing w:before="0" w:after="0" w:line="26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6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6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trPr>
        <w:tc>
          <w:tcPr/>
          <w:p w:rsidR="00000000" w:rsidDel="00000000" w:rsidP="00000000" w:rsidRDefault="00000000" w:rsidRPr="00000000" w14:paraId="0000021C">
            <w:pPr>
              <w:spacing w:before="0" w:after="0" w:line="26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6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6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spacing w:before="40" w:after="14" w:line="360" w:lineRule="auto"/>
        <w:jc w:val="both"/>
        <w:rPr/>
      </w:pPr>
      <w:r>
        <w:rPr>
          <w:rFonts w:ascii="Georgia" w:hAnsi="Georgia" w:cs="Georgia" w:eastAsia="Georgia"/>
          <w:b/>
          <w:bCs w:val="1"/>
          <w:sz w:val="22"/>
          <w:szCs w:val="22"/>
          <w:rtl w:val="0"/>
        </w:rPr>
        <w:t>UNHEDGED ASSERTIONS (WARRANTED CAUTION, NEUTRAL GREY)</w:t>
      </w:r>
      <w:r>
        <w:rPr>
          <w:rtl w:val="0"/>
          <w:sz w:val="22"/>
          <w:szCs w:val="22"/>
        </w:rPr>
      </w:r>
    </w:p>
    <w:p w:rsidR="00000000" w:rsidDel="00000000" w:rsidP="00000000" w:rsidRDefault="00000000" w:rsidRPr="00000000" w14:paraId="00000221">
      <w:pPr>
        <w:spacing w:before="0" w:after="60" w:line="360" w:lineRule="auto"/>
        <w:ind w:left="360" w:hanging="360"/>
        <w:jc w:val="both"/>
        <w:rPr/>
      </w:pPr>
      <w:r>
        <w:rPr>
          <w:rFonts w:ascii="Georgia" w:hAnsi="Georgia" w:cs="Georgia" w:eastAsia="Georgia"/>
          <w:b w:val="0"/>
          <w:bCs w:val="0"/>
          <w:i w:val="0"/>
          <w:iCs w:val="0"/>
          <w:color w:val="000000"/>
          <w:sz w:val="20"/>
          <w:szCs w:val="20"/>
          <w:rtl w:val="0"/>
        </w:rPr>
        <w:t xml:space="preserve">• Grey-highlight the main assertive verb; place [G] or [C] beside it (same placement as (EC) on hedges).</w:t>
      </w:r>
    </w:p>
    <w:p w:rsidR="00000000" w:rsidDel="00000000" w:rsidP="00000000" w:rsidRDefault="00000000" w:rsidRPr="00000000" w14:paraId="00000221">
      <w:pPr>
        <w:spacing w:before="0" w:after="60" w:line="360" w:lineRule="auto"/>
        <w:ind w:left="360" w:hanging="360"/>
        <w:jc w:val="both"/>
        <w:rPr/>
      </w:pPr>
      <w:r>
        <w:rPr>
          <w:rFonts w:ascii="Georgia" w:hAnsi="Georgia" w:cs="Georgia" w:eastAsia="Georgia"/>
          <w:b w:val="0"/>
          <w:bCs w:val="0"/>
          <w:i w:val="0"/>
          <w:iCs w:val="0"/>
          <w:color w:val="000000"/>
          <w:sz w:val="20"/>
          <w:szCs w:val="20"/>
          <w:rtl w:val="0"/>
        </w:rPr>
        <w:t xml:space="preserve">• Mark only claims where caution was warranted but absent.</w:t>
      </w:r>
    </w:p>
    <w:p w:rsidR="00000000" w:rsidDel="00000000" w:rsidP="00000000" w:rsidRDefault="00000000" w:rsidRPr="00000000" w14:paraId="00000221">
      <w:pPr>
        <w:spacing w:before="0" w:after="60" w:line="360" w:lineRule="auto"/>
        <w:ind w:left="360" w:hanging="360"/>
        <w:jc w:val="both"/>
        <w:rPr/>
      </w:pPr>
      <w:r>
        <w:rPr>
          <w:rFonts w:ascii="Georgia" w:hAnsi="Georgia" w:cs="Georgia" w:eastAsia="Georgia"/>
          <w:b w:val="0"/>
          <w:bCs w:val="0"/>
          <w:i w:val="0"/>
          <w:iCs w:val="0"/>
          <w:color w:val="000000"/>
          <w:sz w:val="20"/>
          <w:szCs w:val="20"/>
          <w:rtl w:val="0"/>
        </w:rPr>
        <w:t xml:space="preserve">• [G] = generalization or evaluative ranking beyond the data.</w:t>
      </w:r>
    </w:p>
    <w:p w:rsidR="00000000" w:rsidDel="00000000" w:rsidP="00000000" w:rsidRDefault="00000000" w:rsidRPr="00000000" w14:paraId="00000221">
      <w:pPr>
        <w:spacing w:before="0" w:after="60" w:line="360" w:lineRule="auto"/>
        <w:ind w:left="360" w:hanging="360"/>
        <w:jc w:val="both"/>
        <w:rPr/>
      </w:pPr>
      <w:r>
        <w:rPr>
          <w:rFonts w:ascii="Georgia" w:hAnsi="Georgia" w:cs="Georgia" w:eastAsia="Georgia"/>
          <w:b w:val="0"/>
          <w:bCs w:val="0"/>
          <w:i w:val="0"/>
          <w:iCs w:val="0"/>
          <w:color w:val="000000"/>
          <w:sz w:val="20"/>
          <w:szCs w:val="20"/>
          <w:rtl w:val="0"/>
        </w:rPr>
        <w:t xml:space="preserve">• [C] = cause–effect or impact stronger than the design supports.</w:t>
      </w:r>
    </w:p>
    <w:p w:rsidR="00000000" w:rsidDel="00000000" w:rsidP="00000000" w:rsidRDefault="00000000" w:rsidRPr="00000000" w14:paraId="00000221">
      <w:pPr>
        <w:spacing w:before="0" w:after="60" w:line="360" w:lineRule="auto"/>
        <w:ind w:left="360" w:hanging="360"/>
        <w:jc w:val="both"/>
        <w:rPr/>
      </w:pPr>
      <w:r>
        <w:rPr>
          <w:rFonts w:ascii="Georgia" w:hAnsi="Georgia" w:cs="Georgia" w:eastAsia="Georgia"/>
          <w:b w:val="0"/>
          <w:bCs w:val="0"/>
          <w:i w:val="0"/>
          <w:iCs w:val="0"/>
          <w:color w:val="000000"/>
          <w:sz w:val="20"/>
          <w:szCs w:val="20"/>
          <w:rtl w:val="0"/>
        </w:rPr>
        <w:t xml:space="preserve">• Do not mark bare trial results, measured findings, or procedural statements.</w:t>
      </w:r>
    </w:p>
    <w:p w:rsidR="00000000" w:rsidDel="00000000" w:rsidP="00000000" w:rsidRDefault="00000000" w:rsidRPr="00000000" w14:paraId="00000221">
      <w:pPr>
        <w:spacing w:before="0" w:after="60" w:line="360" w:lineRule="auto"/>
        <w:ind w:left="360" w:hanging="360"/>
        <w:jc w:val="both"/>
        <w:rPr/>
      </w:pPr>
      <w:r>
        <w:rPr>
          <w:rFonts w:ascii="Georgia" w:hAnsi="Georgia" w:cs="Georgia" w:eastAsia="Georgia"/>
          <w:b w:val="0"/>
          <w:bCs w:val="0"/>
          <w:i w:val="0"/>
          <w:iCs w:val="0"/>
          <w:color w:val="000000"/>
          <w:sz w:val="20"/>
          <w:szCs w:val="20"/>
          <w:rtl w:val="0"/>
        </w:rPr>
        <w:t xml:space="preserve">• Record the full clause in the coding sheet.</w:t>
      </w:r>
    </w:p>
    <w:tbl>
      <w:tblPr>
        <w:tblStyle w:val="Table10"/>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bfbfbf" w:val="clear"/>
          </w:tcPr>
          <w:p w:rsidR="00000000" w:rsidDel="00000000" w:rsidP="00000000" w:rsidRDefault="00000000" w:rsidRPr="00000000" w14:paraId="00000226">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7">
            <w:pPr>
              <w:spacing w:before="0" w:after="0" w:line="260" w:lineRule="auto"/>
              <w:jc w:val="both"/>
              <w:rPr/>
            </w:pPr>
            <w:r>
              <w:rPr>
                <w:rFonts w:ascii="Georgia" w:cs="Georgia" w:eastAsia="Georgia" w:hAnsi="Georgia"/>
                <w:sz w:val="18"/>
                <w:szCs w:val="18"/>
                <w:rtl w:val="0"/>
              </w:rPr>
              <w:t xml:space="preserve">Result Claim [R] — Not markable (bare results).</w:t>
            </w:r>
            <w:r>
              <w:rPr>
                <w:rtl w:val="0"/>
                <w:sz w:val="18"/>
                <w:szCs w:val="18"/>
                <w:rFonts w:ascii="Georgia" w:hAnsi="Georgia"/>
              </w:rPr>
            </w:r>
          </w:p>
        </w:tc>
        <w:tc>
          <w:tcPr/>
          <w:p w:rsidR="00000000" w:rsidDel="00000000" w:rsidP="00000000" w:rsidRDefault="00000000" w:rsidRPr="00000000" w14:paraId="00000228">
            <w:pPr>
              <w:spacing w:before="0" w:after="0" w:line="260" w:lineRule="auto"/>
              <w:jc w:val="both"/>
              <w:rPr/>
            </w:pPr>
            <w:r>
              <w:rPr>
                <w:rFonts w:ascii="Georgia" w:cs="Georgia" w:eastAsia="Georgia" w:hAnsi="Georgia"/>
                <w:sz w:val="18"/>
                <w:szCs w:val="18"/>
                <w:rtl w:val="0"/>
              </w:rPr>
              <w:t xml:space="preserve">Not markable.</w:t>
            </w:r>
            <w:r>
              <w:rPr>
                <w:rtl w:val="0"/>
                <w:sz w:val="18"/>
                <w:szCs w:val="18"/>
                <w:rFonts w:ascii="Georgia" w:hAnsi="Georgia"/>
              </w:rPr>
            </w:r>
          </w:p>
        </w:tc>
        <w:tc>
          <w:tcPr/>
          <w:p w:rsidR="00000000" w:rsidDel="00000000" w:rsidP="00000000" w:rsidRDefault="00000000" w:rsidRPr="00000000" w14:paraId="00000229">
            <w:pPr>
              <w:spacing w:before="0" w:after="0" w:line="260" w:lineRule="auto"/>
              <w:jc w:val="both"/>
              <w:rPr/>
            </w:pPr>
            <w:r>
              <w:rPr>
                <w:rFonts w:ascii="Georgia" w:hAnsi="Georgia"/>
                <w:sz w:val="18"/>
                <w:szCs w:val="18"/>
              </w:rPr>
              <w:t xml:space="preserve">“</w:t>
            </w:r>
            <w:r>
              <w:rPr>
                <w:rFonts w:ascii="Georgia" w:hAnsi="Georgia"/>
                <w:sz w:val="18"/>
                <w:szCs w:val="18"/>
                <w:shd w:val="clear" w:color="auto" w:fill="bfbfbf"/>
              </w:rPr>
              <w:t xml:space="preserve">was</w:t>
            </w:r>
            <w:r>
              <w:rPr>
                <w:rFonts w:ascii="Georgia" w:hAnsi="Georgia"/>
                <w:sz w:val="18"/>
                <w:szCs w:val="18"/>
              </w:rPr>
              <w:t xml:space="preserve"> [G] the most compelling…” (mark) vs “Yield higher (p &lt; .05)” (omit).</w:t>
            </w:r>
          </w:p>
        </w:tc>
      </w:tr>
      <w:tr>
        <w:trPr>
          <w:cantSplit/>
        </w:trPr>
        <w:tc>
          <w:tcPr>
            <w:shd w:fill="bfbfbf" w:val="clear"/>
          </w:tcPr>
          <w:p w:rsidR="00000000" w:rsidDel="00000000" w:rsidP="00000000" w:rsidRDefault="00000000" w:rsidRPr="00000000" w14:paraId="0000022A">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B">
            <w:pPr>
              <w:spacing w:before="0" w:after="0" w:line="26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60" w:lineRule="auto"/>
              <w:jc w:val="both"/>
              <w:rPr/>
            </w:pPr>
            <w:r>
              <w:rPr>
                <w:rFonts w:ascii="Georgia" w:cs="Georgia" w:eastAsia="Georgia" w:hAnsi="Georgia"/>
                <w:sz w:val="18"/>
                <w:szCs w:val="18"/>
                <w:rtl w:val="0"/>
              </w:rPr>
              <w:t xml:space="preserve">Inference or ranking beyond the data.</w:t>
            </w:r>
            <w:r>
              <w:rPr>
                <w:rtl w:val="0"/>
                <w:sz w:val="18"/>
                <w:szCs w:val="18"/>
                <w:rFonts w:ascii="Georgia" w:hAnsi="Georgia"/>
              </w:rPr>
            </w:r>
          </w:p>
        </w:tc>
        <w:tc>
          <w:tcPr/>
          <w:p w:rsidR="00000000" w:rsidDel="00000000" w:rsidP="00000000" w:rsidRDefault="00000000" w:rsidRPr="00000000" w14:paraId="0000022D">
            <w:pPr>
              <w:spacing w:before="0" w:after="0" w:line="260" w:lineRule="auto"/>
              <w:jc w:val="both"/>
              <w:rPr/>
            </w:pPr>
            <w:r>
              <w:rPr>
                <w:rFonts w:ascii="Georgia" w:hAnsi="Georgia"/>
                <w:sz w:val="18"/>
                <w:szCs w:val="18"/>
              </w:rPr>
              <w:t xml:space="preserve">“This </w:t>
            </w:r>
            <w:r>
              <w:rPr>
                <w:rFonts w:ascii="Georgia" w:hAnsi="Georgia"/>
                <w:sz w:val="18"/>
                <w:szCs w:val="18"/>
                <w:shd w:val="clear" w:color="auto" w:fill="bfbfbf"/>
              </w:rPr>
              <w:t xml:space="preserve">led</w:t>
            </w:r>
            <w:r>
              <w:rPr>
                <w:rFonts w:ascii="Georgia" w:hAnsi="Georgia"/>
                <w:sz w:val="18"/>
                <w:szCs w:val="18"/>
              </w:rPr>
              <w:t xml:space="preserve"> [G] to the conclusion that all farms were free of it.”</w:t>
            </w:r>
          </w:p>
        </w:tc>
      </w:tr>
      <w:tr>
        <w:trPr>
          <w:cantSplit/>
        </w:trPr>
        <w:tc>
          <w:tcPr>
            <w:shd w:fill="bfbfbf" w:val="clear"/>
          </w:tcPr>
          <w:p w:rsidR="00000000" w:rsidDel="00000000" w:rsidP="00000000" w:rsidRDefault="00000000" w:rsidRPr="00000000" w14:paraId="0000022E">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F">
            <w:pPr>
              <w:spacing w:before="0" w:after="0" w:line="26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60" w:lineRule="auto"/>
              <w:jc w:val="both"/>
              <w:rPr/>
            </w:pPr>
            <w:r>
              <w:rPr>
                <w:rFonts w:ascii="Georgia" w:cs="Georgia" w:eastAsia="Georgia" w:hAnsi="Georgia"/>
                <w:sz w:val="18"/>
                <w:szCs w:val="18"/>
                <w:rtl w:val="0"/>
              </w:rPr>
              <w:t xml:space="preserve">Cause–effect stated as established.</w:t>
            </w:r>
            <w:r>
              <w:rPr>
                <w:rtl w:val="0"/>
                <w:sz w:val="18"/>
                <w:szCs w:val="18"/>
                <w:rFonts w:ascii="Georgia" w:hAnsi="Georgia"/>
              </w:rPr>
            </w:r>
          </w:p>
        </w:tc>
        <w:tc>
          <w:tcPr/>
          <w:p w:rsidR="00000000" w:rsidDel="00000000" w:rsidP="00000000" w:rsidRDefault="00000000" w:rsidRPr="00000000" w14:paraId="00000231">
            <w:pPr>
              <w:spacing w:before="0" w:after="0" w:line="260" w:lineRule="auto"/>
              <w:jc w:val="both"/>
              <w:rPr/>
            </w:pPr>
            <w:r>
              <w:rPr>
                <w:rFonts w:ascii="Georgia" w:hAnsi="Georgia"/>
                <w:sz w:val="18"/>
                <w:szCs w:val="18"/>
              </w:rPr>
              <w:t xml:space="preserve">“Extracts </w:t>
            </w:r>
            <w:r>
              <w:rPr>
                <w:rFonts w:ascii="Georgia" w:hAnsi="Georgia"/>
                <w:sz w:val="18"/>
                <w:szCs w:val="18"/>
                <w:shd w:val="clear" w:color="auto" w:fill="bfbfbf"/>
              </w:rPr>
              <w:t xml:space="preserve">produce</w:t>
            </w:r>
            <w:r>
              <w:rPr>
                <w:rFonts w:ascii="Georgia" w:hAnsi="Georgia"/>
                <w:sz w:val="18"/>
                <w:szCs w:val="18"/>
              </w:rPr>
              <w:t xml:space="preserve"> [C] comparable staining because they contain similar compounds.”</w:t>
            </w:r>
          </w:p>
        </w:tc>
      </w:tr>
    </w:tbl>
    <w:p w:rsidR="00000000" w:rsidDel="00000000" w:rsidP="00000000" w:rsidRDefault="00000000" w:rsidRPr="00000000" w14:paraId="00000247">
      <w:pPr>
        <w:spacing w:before="40" w:after="14" w:line="360" w:lineRule="auto"/>
        <w:jc w:val="left"/>
        <w:rPr/>
      </w:pPr>
      <w:r>
        <w:rPr>
          <w:rFonts w:ascii="Georgia" w:hAnsi="Georgia" w:cs="Georgia" w:eastAsia="Georgia"/>
          <w:b/>
          <w:bCs w:val="1"/>
          <w:sz w:val="22"/>
          <w:szCs w:val="22"/>
          <w:rtl w:val="0"/>
        </w:rPr>
        <w:t>CODING SHEET COLUMNS</w:t>
      </w:r>
      <w:r>
        <w:rPr>
          <w:rtl w:val="0"/>
          <w:sz w:val="22"/>
          <w:szCs w:val="22"/>
        </w:rPr>
      </w:r>
    </w:p>
    <w:tbl>
      <w:tblPr>
        <w:tblStyle w:val="Table14"/>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6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7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3"/>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6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6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2"/>
        <w:tblW w:w="8303"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6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6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51">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48">
      <w:pPr>
        <w:spacing w:before="0" w:after="60" w:line="360" w:lineRule="auto"/>
        <w:ind w:left="360" w:hanging="360"/>
        <w:jc w:val="both"/>
        <w:rPr/>
      </w:pPr>
      <w:r>
        <w:rPr>
          <w:rFonts w:ascii="Georgia" w:hAnsi="Georgia" w:cs="Georgia" w:eastAsia="Georgia"/>
          <w:b w:val="0"/>
          <w:bCs w:val="0"/>
          <w:i w:val="0"/>
          <w:iCs w:val="0"/>
          <w:sz w:val="20"/>
          <w:szCs w:val="20"/>
          <w:rtl w:val="0"/>
        </w:rPr>
        <w:t>• Highlighted abstract = primary record. Spreadsheet = tallying and analysis only.</w:t>
      </w:r>
      <w:r>
        <w:rPr>
          <w:rtl w:val="0"/>
          <w:sz w:val="20"/>
          <w:szCs w:val="20"/>
        </w:rPr>
      </w:r>
    </w:p>
    <w:p w:rsidR="00000000" w:rsidDel="00000000" w:rsidP="00000000" w:rsidRDefault="00000000" w:rsidRPr="00000000" w14:paraId="0000025A">
      <w:pPr>
        <w:spacing w:before="0" w:after="60" w:line="360" w:lineRule="auto"/>
        <w:ind w:left="360" w:hanging="360"/>
        <w:jc w:val="both"/>
        <w:rPr/>
      </w:pPr>
      <w:r>
        <w:rPr>
          <w:rFonts w:ascii="Georgia" w:hAnsi="Georgia" w:cs="Georgia" w:eastAsia="Georgia"/>
          <w:b w:val="0"/>
          <w:bCs w:val="0"/>
          <w:i w:val="1"/>
          <w:iCs w:val="1"/>
          <w:color w:val="000000"/>
          <w:sz w:val="20"/>
          <w:szCs w:val="20"/>
          <w:rtl w:val="0"/>
        </w:rPr>
        <w:t>• Codes: Acs1–Acs10, Aas1–Aas10 (Agriculture). VM1–VM20. B1–B20 (Biology).</w:t>
      </w:r>
      <w:r>
        <w:rPr>
          <w:rtl w:val="0"/>
          <w:sz w:val="20"/>
          <w:szCs w:val="20"/>
        </w:rPr>
      </w:r>
    </w:p>
    <w:p w:rsidR="00000000" w:rsidDel="00000000" w:rsidP="00000000" w:rsidRDefault="00000000" w:rsidRPr="00000000" w14:paraId="0000025D">
      <w:pPr>
        <w:spacing w:before="0" w:after="60" w:line="360" w:lineRule="auto"/>
        <w:ind w:left="360" w:hanging="360"/>
        <w:jc w:val="both"/>
        <w:rPr/>
      </w:pPr>
      <w:r>
        <w:rPr>
          <w:rFonts w:ascii="Georgia" w:hAnsi="Georgia" w:cs="Georgia" w:eastAsia="Georgia"/>
          <w:b w:val="0"/>
          <w:bCs w:val="0"/>
          <w:i w:val="1"/>
          <w:iCs w:val="1"/>
          <w:color w:val="000000"/>
          <w:sz w:val="20"/>
          <w:szCs w:val="20"/>
          <w:rtl w:val="0"/>
        </w:rPr>
        <w:t>• Unhedged rows separate from hedge tallies. [G]/[C] only for warranted-but-absent caution.</w:t>
      </w:r>
      <w:r>
        <w:rPr>
          <w:rtl w:val="0"/>
          <w:sz w:val="20"/>
          <w:szCs w:val="20"/>
        </w:rPr>
      </w:r>
    </w:p>
    <w:p w:rsidR="00000000" w:rsidDel="00000000" w:rsidP="00000000" w:rsidRDefault="00000000" w:rsidRPr="00000000" w14:paraId="0000026C">
      <w:pPr>
        <w:spacing w:before="0" w:after="60" w:line="360" w:lineRule="auto"/>
        <w:ind w:left="360" w:hanging="36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hAnsi="Georgia" w:cs="Georgia" w:eastAsia="Georgia"/>
          <w:b w:val="0"/>
          <w:bCs w:val="0"/>
          <w:i w:val="1"/>
          <w:iCs w:val="1"/>
          <w:sz w:val="20"/>
          <w:szCs w:val="20"/>
          <w:rtl w:val="0"/>
        </w:rPr>
        <w:t>• Optional Rejected Candidates tab for FP traceability.</w:t>
      </w:r>
      <w:r>
        <w:rPr>
          <w:rtl w:val="0"/>
          <w:sz w:val="20"/>
          <w:szCs w:val="20"/>
        </w:rPr>
      </w:r>
    </w:p>
    <w:p w:rsidR="00000000" w:rsidDel="00000000" w:rsidP="00000000" w:rsidRDefault="00000000" w:rsidRPr="00000000" w14:paraId="0000027B">
      <w:pPr>
        <w:spacing w:before="120" w:after="0" w:line="456" w:lineRule="auto"/>
        <w:jc w:val="center"/>
        <w:rPr/>
      </w:pPr>
      <w:r>
        <w:rPr>
          <w:rFonts w:ascii="Georgia" w:cs="Georgia" w:eastAsia="Georgia" w:hAnsi="Georgia"/>
          <w:b w:val="1"/>
          <w:bCs w:val="1"/>
          <w:sz w:val="28"/>
          <w:szCs w:val="28"/>
          <w:rtl w:val="0"/>
        </w:rPr>
        <w:t xml:space="preserve">APPENDIX B: PILOT SAMPLE ANALYSIS AND CODING VERIFICATION</w:t>
      </w:r>
      <w:r>
        <w:rPr>
          <w:rtl w:val="0"/>
          <w:sz w:val="28"/>
          <w:szCs w:val="28"/>
        </w:rPr>
      </w:r>
    </w:p>
    <w:p w:rsidR="00000000" w:rsidDel="00000000" w:rsidP="00000000" w:rsidRDefault="00000000" w:rsidRPr="00000000" w14:paraId="0000027C">
      <w:pPr>
        <w:spacing w:before="0" w:after="0" w:line="456"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56" w:lineRule="auto"/>
        <w:jc w:val="left"/>
        <w:rPr/>
      </w:pPr>
      <w:r>
        <w:rPr>
          <w:rFonts w:ascii="Georgia" w:hAnsi="Georgia" w:cs="Georgia" w:eastAsia="Georgia"/>
          <w:i w:val="1"/>
          <w:iCs w:val="1"/>
          <w:rtl w:val="0"/>
          <w:sz w:val="22"/>
          <w:szCs w:val="22"/>
        </w:rPr>
        <w:t xml:space="preserve">Sample 1: Biology</w:t>
      </w:r>
      <w:r>
        <w:rPr>
          <w:rtl w:val="0"/>
        </w:rPr>
      </w:r>
    </w:p>
    <w:p w:rsidR="00000000" w:rsidDel="00000000" w:rsidP="00000000" w:rsidRDefault="00000000" w:rsidRPr="00000000" w14:paraId="0000027E">
      <w:pPr>
        <w:spacing w:before="0" w:after="0" w:line="456"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56"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8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56" w:lineRule="auto"/>
        <w:jc w:val="left"/>
        <w:rPr/>
      </w:pPr>
      <w:r>
        <w:rPr>
          <w:rFonts w:ascii="Georgia" w:cs="Georgia" w:eastAsia="Georgia" w:hAnsi="Georgia"/>
          <w:b w:val="0"/>
          <w:bCs w:val="0"/>
          <w:i w:val="1"/>
          <w:iCs w:val="1"/>
          <w:sz w:val="24"/>
          <w:szCs w:val="24"/>
          <w:rtl w:val="0"/>
        </w:rPr>
        <w:t xml:space="preserve">Sample 2: Veterinary Medicine</w:t>
      </w:r>
      <w:r>
        <w:rPr>
          <w:rtl w:val="0"/>
          <w:sz w:val="24"/>
          <w:szCs w:val="24"/>
        </w:rPr>
      </w:r>
    </w:p>
    <w:p w:rsidR="00000000" w:rsidDel="00000000" w:rsidP="00000000" w:rsidRDefault="00000000" w:rsidRPr="00000000" w14:paraId="0000028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2</w:t>
      </w:r>
      <w:r>
        <w:rPr>
          <w:rtl w:val="0"/>
          <w:sz w:val="24"/>
          <w:szCs w:val="24"/>
        </w:rPr>
      </w:r>
    </w:p>
    <w:p w:rsidR="00000000" w:rsidDel="00000000" w:rsidP="00000000" w:rsidRDefault="00000000" w:rsidRPr="00000000" w14:paraId="00000287">
      <w:pPr>
        <w:spacing w:before="0" w:after="0" w:line="456"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56" w:lineRule="auto"/>
        <w:ind w:firstLine="720"/>
        <w:jc w:val="both"/>
        <w:rPr/>
      </w:pPr>
      <w:r>
        <w:rPr>
          <w:rFonts w:ascii="Georgia" w:cs="Georgia" w:eastAsia="Georgia" w:hAnsi="Georgia"/>
          <w:b w:val="1"/>
          <w:bCs w:val="1"/>
          <w:i w:val="0"/>
          <w:iCs w:val="0"/>
          <w:sz w:val="24"/>
          <w:szCs w:val="24"/>
          <w:rtl w:val="0"/>
        </w:rPr>
        <w:t xml:space="preserve">Coded Instances:</w:t>
      </w:r>
      <w:r>
        <w:rPr>
          <w:rtl w:val="0"/>
          <w:sz w:val="24"/>
          <w:szCs w:val="24"/>
        </w:rPr>
      </w:r>
    </w:p>
    <w:p w:rsidR="00000000" w:rsidDel="00000000" w:rsidP="00000000" w:rsidRDefault="00000000" w:rsidRPr="00000000" w14:paraId="00000289">
      <w:pPr>
        <w:spacing w:before="0" w:after="0" w:line="456" w:lineRule="auto"/>
        <w:jc w:val="both"/>
        <w:rPr/>
      </w:pPr>
      <w:r>
        <w:rPr>
          <w:rFonts w:ascii="Georgia" w:cs="Georgia" w:eastAsia="Georgia" w:hAnsi="Georgia"/>
          <w:b w:val="0"/>
          <w:bCs w:val="0"/>
          <w:i w:val="0"/>
          <w:iCs w:val="0"/>
          <w:sz w:val="24"/>
          <w:szCs w:val="24"/>
          <w:rtl w:val="0"/>
        </w:rPr>
        <w:t xml:space="preserve">“The results suggested that...” (Lexical Verb - Epistemic Caution)</w:t>
      </w:r>
      <w:r>
        <w:rPr>
          <w:rtl w:val="0"/>
          <w:sz w:val="24"/>
          <w:szCs w:val="24"/>
        </w:rPr>
      </w:r>
    </w:p>
    <w:p w:rsidR="00000000" w:rsidDel="00000000" w:rsidP="00000000" w:rsidRDefault="00000000" w:rsidRPr="00000000" w14:paraId="0000028A">
      <w:pPr>
        <w:spacing w:before="0" w:after="0" w:line="456" w:lineRule="auto"/>
        <w:jc w:val="both"/>
        <w:rPr/>
      </w:pPr>
      <w:r>
        <w:rPr>
          <w:rFonts w:ascii="Georgia" w:cs="Georgia" w:eastAsia="Georgia" w:hAnsi="Georgia"/>
          <w:b w:val="0"/>
          <w:bCs w:val="0"/>
          <w:i w:val="0"/>
          <w:iCs w:val="0"/>
          <w:sz w:val="24"/>
          <w:szCs w:val="24"/>
          <w:rtl w:val="0"/>
        </w:rPr>
        <w:t xml:space="preserve">“...extracts are potential alternative stains...” (Lexical Adjective - Epistemic Caution)</w:t>
      </w:r>
      <w:r>
        <w:rPr>
          <w:rtl w:val="0"/>
          <w:sz w:val="24"/>
          <w:szCs w:val="24"/>
        </w:rPr>
      </w:r>
    </w:p>
    <w:p w:rsidR="00000000" w:rsidDel="00000000" w:rsidP="00000000" w:rsidRDefault="00000000" w:rsidRPr="00000000" w14:paraId="0000028B">
      <w:pPr>
        <w:spacing w:before="0" w:after="0" w:line="456" w:lineRule="auto"/>
        <w:ind w:firstLine="720"/>
        <w:jc w:val="both"/>
        <w:rPr/>
      </w:pPr>
      <w:r>
        <w:rPr>
          <w:rFonts w:ascii="Georgia" w:cs="Georgia" w:eastAsia="Georgia" w:hAnsi="Georgia"/>
          <w:b w:val="1"/>
          <w:bCs w:val="1"/>
          <w:i w:val="0"/>
          <w:iCs w:val="0"/>
          <w:sz w:val="24"/>
          <w:szCs w:val="24"/>
          <w:rtl w:val="0"/>
        </w:rPr>
        <w:t xml:space="preserve">Excluded: </w:t>
      </w:r>
      <w:r>
        <w:rPr>
          <w:rFonts w:ascii="Georgia" w:cs="Georgia" w:eastAsia="Georgia" w:hAnsi="Georgia"/>
          <w:b w:val="0"/>
          <w:bCs w:val="0"/>
          <w:i w:val="0"/>
          <w:iCs w:val="0"/>
          <w:sz w:val="24"/>
          <w:szCs w:val="24"/>
          <w:rtl w:val="0"/>
        </w:rPr>
        <w:t xml:space="preserve">“approximately two and one-half” (Procedural measurement, not epistemic).</w:t>
      </w:r>
      <w:r>
        <w:rPr>
          <w:rtl w:val="0"/>
          <w:sz w:val="24"/>
          <w:szCs w:val="24"/>
        </w:rPr>
      </w:r>
    </w:p>
    <w:p w:rsidR="00000000" w:rsidDel="00000000" w:rsidP="00000000" w:rsidRDefault="00000000" w:rsidRPr="00000000" w14:paraId="0000028D">
      <w:pPr>
        <w:spacing w:before="120" w:after="0" w:line="456" w:lineRule="auto"/>
        <w:jc w:val="left"/>
        <w:rPr/>
      </w:pPr>
      <w:r>
        <w:rPr>
          <w:rFonts w:ascii="Georgia" w:cs="Georgia" w:eastAsia="Georgia" w:hAnsi="Georgia"/>
          <w:b w:val="0"/>
          <w:bCs w:val="0"/>
          <w:i w:val="1"/>
          <w:iCs w:val="1"/>
          <w:sz w:val="24"/>
          <w:szCs w:val="24"/>
          <w:rtl w:val="0"/>
        </w:rPr>
        <w:t xml:space="preserve">Sample 3: Agriculture (Animal Science)</w:t>
      </w:r>
      <w:r>
        <w:rPr>
          <w:rtl w:val="0"/>
          <w:sz w:val="24"/>
          <w:szCs w:val="24"/>
        </w:rPr>
      </w:r>
    </w:p>
    <w:p w:rsidR="00000000" w:rsidDel="00000000" w:rsidP="00000000" w:rsidRDefault="00000000" w:rsidRPr="00000000" w14:paraId="0000028E">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56" w:lineRule="auto"/>
        <w:ind w:firstLine="720"/>
        <w:jc w:val="both"/>
        <w:rPr/>
      </w:pPr>
      <w:r>
        <w:rPr>
          <w:rFonts w:ascii="Georgia" w:cs="Georgia" w:eastAsia="Georgia" w:hAnsi="Georgia"/>
          <w:b w:val="1"/>
          <w:bCs w:val="1"/>
          <w:i w:val="0"/>
          <w:iCs w:val="0"/>
          <w:sz w:val="24"/>
          <w:szCs w:val="24"/>
          <w:rtl w:val="0"/>
        </w:rPr>
        <w:t xml:space="preserve">Key Excerpt: </w:t>
      </w:r>
      <w:r>
        <w:rPr>
          <w:rFonts w:ascii="Georgia" w:cs="Georgia" w:eastAsia="Georgia" w:hAnsi="Georgia"/>
          <w:b w:val="0"/>
          <w:bCs w:val="0"/>
          <w:i w:val="0"/>
          <w:iCs w:val="0"/>
          <w:sz w:val="24"/>
          <w:szCs w:val="24"/>
          <w:rtl w:val="0"/>
        </w:rPr>
        <w:t xml:space="preserve">“Results of the study showed that Comparison on Curing Methods…”</w:t>
      </w:r>
      <w:r>
        <w:rPr>
          <w:rtl w:val="0"/>
          <w:sz w:val="24"/>
          <w:szCs w:val="24"/>
        </w:rPr>
      </w:r>
    </w:p>
    <w:p w:rsidR="00000000" w:rsidDel="00000000" w:rsidP="00000000" w:rsidRDefault="00000000" w:rsidRPr="00000000" w14:paraId="00000294">
      <w:pPr>
        <w:spacing w:before="120" w:after="0" w:line="456" w:lineRule="auto"/>
        <w:jc w:val="left"/>
        <w:rPr/>
      </w:pPr>
      <w:r>
        <w:rPr>
          <w:rFonts w:ascii="Georgia" w:cs="Georgia" w:eastAsia="Georgia" w:hAnsi="Georgia"/>
          <w:b w:val="0"/>
          <w:bCs w:val="0"/>
          <w:i w:val="1"/>
          <w:iCs w:val="1"/>
          <w:sz w:val="24"/>
          <w:szCs w:val="24"/>
          <w:rtl w:val="0"/>
        </w:rPr>
        <w:t xml:space="preserve">Sample 4: Agriculture (Crop Science)</w:t>
      </w:r>
      <w:r>
        <w:rPr>
          <w:rtl w:val="0"/>
          <w:sz w:val="24"/>
          <w:szCs w:val="24"/>
        </w:rPr>
      </w:r>
    </w:p>
    <w:p w:rsidR="00000000" w:rsidDel="00000000" w:rsidP="00000000" w:rsidRDefault="00000000" w:rsidRPr="00000000" w14:paraId="0000029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8">
      <w:pPr>
        <w:spacing w:before="0" w:after="0" w:line="456"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56" w:lineRule="auto"/>
        <w:jc w:val="left"/>
        <w:rPr/>
      </w:pPr>
      <w:r>
        <w:rPr>
          <w:rFonts w:ascii="Georgia" w:cs="Georgia" w:eastAsia="Georgia" w:hAnsi="Georgia"/>
          <w:b w:val="1"/>
          <w:bCs w:val="1"/>
          <w:sz w:val="24"/>
          <w:szCs w:val="24"/>
          <w:rtl w:val="0"/>
        </w:rPr>
        <w:t xml:space="preserve">General observation from the pilot</w:t>
      </w:r>
      <w:r>
        <w:rPr>
          <w:rtl w:val="0"/>
          <w:sz w:val="24"/>
          <w:szCs w:val="24"/>
        </w:rPr>
      </w:r>
    </w:p>
    <w:p w:rsidR="00000000" w:rsidDel="00000000" w:rsidP="00000000" w:rsidRDefault="00000000" w:rsidRPr="00000000" w14:paraId="0000029B">
      <w:pPr>
        <w:spacing w:before="0" w:after="0" w:line="456"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center"/>
        <w:rPr/>
      </w:pPr>
      <w:r>
        <w:rPr>
          <w:rFonts w:ascii="Georgia" w:cs="Georgia" w:eastAsia="Georgia" w:hAnsi="Georgia"/>
          <w:b w:val="1"/>
          <w:bCs w:val="1"/>
          <w:sz w:val="28"/>
          <w:szCs w:val="28"/>
          <w:rtl w:val="0"/>
        </w:rPr>
        <w:t xml:space="preserve">APPENDIX C: CODED CORPUS WITH HIGHLIGHTS</w:t>
      </w:r>
      <w:r>
        <w:rPr>
          <w:rtl w:val="0"/>
          <w:sz w:val="28"/>
          <w:szCs w:val="28"/>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
        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not a function). Unhedged assertions = grey highlight + [G]/[C] bracket (warranted-but-absent caution only).
    </w:t>
      </w:r>
      <w:r>
        <w:rPr>
          <w:rFonts w:ascii="Georgia" w:hAnsi="Georgia" w:cs="Georgia" w:eastAsia="Georgia"/>
          <w:b w:val="0"/>
          <w:i w:val="0"/>
          <w:sz w:val="22"/>
          <w:color w:val="000000"/>
        </w:rPr>
        <w:t/>
      </w:r>
      <w:r>
        <w:rPr>
          <w:rFonts w:ascii="Georgia" w:hAnsi="Georgia" w:cs="Georgia" w:eastAsia="Georgia"/>
          <w:b w:val="0"/>
          <w:i w:val="0"/>
          <w:sz w:val="22"/>
        </w:rPr>
        <w:t xml:space="preserve"/>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4"/>
          <w:szCs w:val="24"/>
          <w:rtl w:val="0"/>
          <w:b/>
          <w:bCs/>
        </w:rPr>
        <w:t>Biology (B1–B20)</w:t>
      </w:r>
      <w:r>
        <w:rPr>
          <w:rtl w:val="0"/>
          <w:sz w:val="24"/>
          <w:szCs w:val="24"/>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sz w:val="24"/>
          <w:szCs w:val="24"/>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sz w:val="24"/>
          <w:szCs w:val="24"/>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sz w:val="24"/>
          <w:szCs w:val="24"/>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sz w:val="24"/>
          <w:szCs w:val="24"/>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sz w:val="24"/>
          <w:szCs w:val="24"/>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sz w:val="24"/>
          <w:szCs w:val="24"/>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sz w:val="24"/>
          <w:szCs w:val="24"/>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sz w:val="24"/>
          <w:szCs w:val="24"/>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sz w:val="24"/>
          <w:szCs w:val="24"/>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2"/>
          <w:szCs w:val="22"/>
          <w:b w:val="0"/>
          <w:bCs w:val="0"/>
          <w:strike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sz w:val="24"/>
          <w:szCs w:val="24"/>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sz w:val="24"/>
          <w:szCs w:val="24"/>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2"/>
          <w:szCs w:val="22"/>
          <w:b w:val="0"/>
          <w:bCs w:val="0"/>
          <w:strike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sz w:val="24"/>
          <w:szCs w:val="24"/>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sz w:val="24"/>
          <w:szCs w:val="24"/>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sz w:val="24"/>
          <w:szCs w:val="24"/>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sz w:val="24"/>
          <w:szCs w:val="24"/>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sz w:val="24"/>
          <w:szCs w:val="24"/>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sz w:val="24"/>
          <w:szCs w:val="24"/>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sz w:val="24"/>
          <w:szCs w:val="24"/>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sz w:val="24"/>
          <w:szCs w:val="24"/>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sz w:val="24"/>
          <w:szCs w:val="24"/>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4"/>
          <w:szCs w:val="24"/>
          <w:rtl w:val="0"/>
          <w:b/>
          <w:bCs/>
        </w:rPr>
        <w:t>Veterinary Medicine (VM1–VM20)</w:t>
      </w:r>
      <w:r>
        <w:rPr>
          <w:rtl w:val="0"/>
          <w:sz w:val="24"/>
          <w:szCs w:val="24"/>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sz w:val="24"/>
          <w:szCs w:val="24"/>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sz w:val="24"/>
          <w:szCs w:val="24"/>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sz w:val="24"/>
          <w:szCs w:val="24"/>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sz w:val="24"/>
          <w:szCs w:val="24"/>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sz w:val="24"/>
          <w:szCs w:val="24"/>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sz w:val="24"/>
          <w:szCs w:val="24"/>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sz w:val="24"/>
          <w:szCs w:val="24"/>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sz w:val="24"/>
          <w:szCs w:val="24"/>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sz w:val="24"/>
          <w:szCs w:val="24"/>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sz w:val="24"/>
          <w:szCs w:val="24"/>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2"/>
          <w:szCs w:val="22"/>
          <w:b w:val="0"/>
          <w:bCs w:val="0"/>
          <w:strike w:val="0"/>
          <w:color w:val="00000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sz w:val="24"/>
          <w:szCs w:val="24"/>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sz w:val="24"/>
          <w:szCs w:val="24"/>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sz w:val="24"/>
          <w:szCs w:val="24"/>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sz w:val="24"/>
          <w:szCs w:val="24"/>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sz w:val="24"/>
          <w:szCs w:val="24"/>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sz w:val="24"/>
          <w:szCs w:val="24"/>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2"/>
          <w:szCs w:val="22"/>
          <w:b w:val="0"/>
          <w:bCs w:val="0"/>
          <w:strike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sz w:val="24"/>
          <w:szCs w:val="24"/>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sz w:val="24"/>
          <w:szCs w:val="24"/>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sz w:val="24"/>
          <w:szCs w:val="24"/>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sz w:val="24"/>
          <w:szCs w:val="24"/>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Crop Science (Acs1–Acs10)</w:t>
      </w:r>
      <w:r>
        <w:rPr>
          <w:rtl w:val="0"/>
          <w:sz w:val="24"/>
          <w:szCs w:val="24"/>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sz w:val="24"/>
          <w:szCs w:val="24"/>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sz w:val="24"/>
          <w:szCs w:val="24"/>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sz w:val="24"/>
          <w:szCs w:val="24"/>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sz w:val="24"/>
          <w:szCs w:val="24"/>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sz w:val="24"/>
          <w:szCs w:val="24"/>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sz w:val="24"/>
          <w:szCs w:val="24"/>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sz w:val="24"/>
          <w:szCs w:val="24"/>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sz w:val="24"/>
          <w:szCs w:val="24"/>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2"/>
          <w:szCs w:val="22"/>
          <w:b w:val="0"/>
          <w:bCs w:val="0"/>
          <w:strike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sz w:val="24"/>
          <w:szCs w:val="24"/>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sz w:val="24"/>
          <w:szCs w:val="24"/>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Animal Science (Aas1–Aas10)</w:t>
      </w:r>
      <w:r>
        <w:rPr>
          <w:rtl w:val="0"/>
          <w:sz w:val="24"/>
          <w:szCs w:val="24"/>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sz w:val="24"/>
          <w:szCs w:val="24"/>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sz w:val="24"/>
          <w:szCs w:val="24"/>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2"/>
          <w:szCs w:val="22"/>
          <w:b w:val="0"/>
          <w:bCs w:val="0"/>
          <w:strike w:val="0"/>
          <w:color w:val="000000"/>
        </w:rPr>
        <w:t xml:space="preserve"> [C]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sz w:val="24"/>
          <w:szCs w:val="24"/>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sz w:val="24"/>
          <w:szCs w:val="24"/>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sz w:val="24"/>
          <w:szCs w:val="24"/>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sz w:val="24"/>
          <w:szCs w:val="24"/>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sz w:val="24"/>
          <w:szCs w:val="24"/>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sz w:val="24"/>
          <w:szCs w:val="24"/>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sz w:val="24"/>
          <w:szCs w:val="24"/>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sz w:val="24"/>
          <w:szCs w:val="24"/>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headerReference r:id="rId9" w:type="default"/>
      <w:headerReference r:id="rId10" w:type="first"/>
      <w:type w:val="nextPage"/>
      <w:pgSz w:h="16838" w:w="11906" w:orient="portrait"/>
      <w:pgMar w:bottom="1440" w:top="1440" w:left="2160" w:right="1440" w:header="720" w:footer="720"/>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