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8"/>
          <w:szCs w:val="28"/>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480" w:lineRule="auto"/>
        <w:jc w:val="center"/>
        <w:rPr>
          <w:sz w:val="28"/>
          <w:szCs w:val="28"/>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A Thesis</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Presented to the Faculty of</w:t>
      </w:r>
    </w:p>
    <w:p w:rsidR="00000000" w:rsidDel="00000000" w:rsidP="00000000" w:rsidRDefault="00000000" w:rsidRPr="00000000" w14:paraId="00000009">
      <w:pPr>
        <w:spacing w:after="0" w:before="0" w:line="480" w:lineRule="auto"/>
        <w:jc w:val="center"/>
        <w:rPr/>
      </w:pPr>
      <w:r w:rsidDel="00000000" w:rsidR="00000000" w:rsidRPr="00000000">
        <w:rPr>
          <w:rtl w:val="0"/>
        </w:rPr>
        <w:t xml:space="preserve">Department of English</w:t>
      </w:r>
    </w:p>
    <w:p w:rsidR="00000000" w:rsidDel="00000000" w:rsidP="00000000" w:rsidRDefault="00000000" w:rsidRPr="00000000" w14:paraId="0000000A">
      <w:pPr>
        <w:spacing w:after="0" w:before="0" w:line="480" w:lineRule="auto"/>
        <w:jc w:val="center"/>
        <w:rPr/>
      </w:pPr>
      <w:r w:rsidDel="00000000" w:rsidR="00000000" w:rsidRPr="00000000">
        <w:rPr>
          <w:rtl w:val="0"/>
        </w:rPr>
        <w:t xml:space="preserve">College of Arts and Sciences</w:t>
      </w:r>
    </w:p>
    <w:p w:rsidR="00000000" w:rsidDel="00000000" w:rsidP="00000000" w:rsidRDefault="00000000" w:rsidRPr="00000000" w14:paraId="0000000B">
      <w:pPr>
        <w:spacing w:after="0" w:before="0" w:line="480" w:lineRule="auto"/>
        <w:jc w:val="center"/>
        <w:rPr/>
      </w:pPr>
      <w:r w:rsidDel="00000000" w:rsidR="00000000" w:rsidRPr="00000000">
        <w:rPr>
          <w:rtl w:val="0"/>
        </w:rPr>
        <w:t xml:space="preserve">Pampanga State Agricultural University</w:t>
      </w:r>
    </w:p>
    <w:p w:rsidR="00000000" w:rsidDel="00000000" w:rsidP="00000000" w:rsidRDefault="00000000" w:rsidRPr="00000000" w14:paraId="0000000C">
      <w:pPr>
        <w:spacing w:after="0" w:before="0" w:line="480" w:lineRule="auto"/>
        <w:jc w:val="center"/>
        <w:rPr/>
      </w:pPr>
      <w:r w:rsidDel="00000000" w:rsidR="00000000" w:rsidRPr="00000000">
        <w:rPr>
          <w:rtl w:val="0"/>
        </w:rPr>
        <w:t xml:space="preserve">Magalang, Pampanga</w:t>
      </w:r>
    </w:p>
    <w:p w:rsidR="00000000" w:rsidDel="00000000" w:rsidP="00000000" w:rsidRDefault="00000000" w:rsidRPr="00000000" w14:paraId="0000000D">
      <w:pPr>
        <w:spacing w:after="0" w:before="0" w:line="480" w:lineRule="auto"/>
        <w:jc w:val="center"/>
        <w:rPr/>
      </w:pPr>
      <w:r w:rsidDel="00000000" w:rsidR="00000000" w:rsidRPr="00000000">
        <w:rPr>
          <w:rtl w:val="0"/>
        </w:rPr>
      </w:r>
    </w:p>
    <w:p w:rsidR="00000000" w:rsidDel="00000000" w:rsidP="00000000" w:rsidRDefault="00000000" w:rsidRPr="00000000" w14:paraId="0000000E">
      <w:pPr>
        <w:spacing w:after="0" w:before="0" w:line="480" w:lineRule="auto"/>
        <w:jc w:val="center"/>
        <w:rPr/>
      </w:pP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after="0" w:before="0"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1">
      <w:pPr>
        <w:spacing w:after="0" w:before="0" w:line="480" w:lineRule="auto"/>
        <w:jc w:val="center"/>
        <w:rPr/>
      </w:pPr>
      <w:r w:rsidDel="00000000" w:rsidR="00000000" w:rsidRPr="00000000">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tl w:val="0"/>
        </w:rPr>
      </w:r>
    </w:p>
    <w:p w:rsidR="00000000" w:rsidDel="00000000" w:rsidP="00000000" w:rsidRDefault="00000000" w:rsidRPr="00000000" w14:paraId="00000014">
      <w:pPr>
        <w:keepNext w:val="1"/>
        <w:spacing w:after="0" w:before="0" w:line="480" w:lineRule="auto"/>
        <w:jc w:val="center"/>
        <w:rPr/>
      </w:pPr>
      <w:r w:rsidDel="00000000" w:rsidR="00000000" w:rsidRPr="00000000">
        <w:rPr>
          <w:rtl w:val="0"/>
        </w:rPr>
        <w:t xml:space="preserve">By</w:t>
      </w:r>
    </w:p>
    <w:p w:rsidR="00000000" w:rsidDel="00000000" w:rsidP="00000000" w:rsidRDefault="00000000" w:rsidRPr="00000000" w14:paraId="00000015">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6">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8">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9">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A">
      <w:pPr>
        <w:keepNext w:val="1"/>
        <w:spacing w:after="0" w:before="0" w:line="480" w:lineRule="auto"/>
        <w:jc w:val="center"/>
        <w:rPr/>
      </w:pPr>
      <w:r w:rsidDel="00000000" w:rsidR="00000000" w:rsidRPr="00000000">
        <w:rPr>
          <w:b w:val="1"/>
          <w:bCs w:val="1"/>
          <w:rtl w:val="0"/>
        </w:rPr>
        <w:t xml:space="preserve">CHRYZ KEAN F. MANUEL</w:t>
      </w:r>
      <w:r w:rsidDel="00000000" w:rsidR="00000000" w:rsidRPr="00000000">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sidDel="00000000" w:rsidR="00000000" w:rsidRPr="00000000">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spacing w:after="120" w:before="240" w:line="480" w:lineRule="auto"/>
        <w:ind w:firstLine="0"/>
        <w:rPr>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tl w:val="0"/>
        </w:rPr>
        <w:t xml:space="preserve">Certainty, it seems, is one thing academic writers are certain they should avoid. Writing guides urge developing researchers to “</w:t>
      </w:r>
      <w:r w:rsidDel="00000000" w:rsidR="00000000" w:rsidRPr="00000000">
        <w:rPr>
          <w:i w:val="1"/>
          <w:iCs w:val="1"/>
          <w:rtl w:val="0"/>
        </w:rPr>
        <w:t xml:space="preserve">qualify your claims</w:t>
      </w:r>
      <w:r w:rsidDel="00000000" w:rsidR="00000000" w:rsidRPr="00000000">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Fonts w:ascii="Georgia" w:hAnsi="Georgia" w:eastAsia="Georgia"/>
          <w:sz w:val="22"/>
          <w:rtl w:val="0"/>
        </w:rPr>
        <w:t>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p>
    <w:p w:rsidR="00000000" w:rsidDel="00000000" w:rsidP="00000000" w:rsidRDefault="00000000" w:rsidRPr="00000000" w14:paraId="00000025">
      <w:pPr>
        <w:spacing w:after="0" w:before="0" w:line="480" w:lineRule="auto"/>
        <w:ind w:firstLine="720"/>
        <w:jc w:val="both"/>
        <w:rPr/>
      </w:pPr>
      <w:r w:rsidDel="00000000" w:rsidR="00000000" w:rsidRPr="00000000">
        <w:rPr>
          <w:rFonts w:ascii="Georgia" w:hAnsi="Georgia" w:eastAsia="Georgia"/>
          <w:sz w:val="22"/>
          <w:rtl w:val="0"/>
        </w:rPr>
        <w:t>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L2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p>
    <w:p>
      <w:pPr>
        <w:spacing w:line="480" w:lineRule="auto"/>
        <w:ind w:left="720" w:hanging="720"/>
      </w:pPr>
    </w:p>
    <w:p>
      <w:pPr>
        <w:spacing w:line="480" w:lineRule="auto" w:before="0" w:after="0"/>
        <w:ind w:firstLine="720"/>
        <w:jc w:val="both"/>
      </w:pPr>
      <w:r>
        <w:rPr>
          <w:rFonts w:ascii="Georgia" w:hAnsi="Georgia" w:eastAsia="Georgia"/>
          <w:sz w:val="22"/>
        </w:rPr>
        <w:t>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p>
    <w:p>
      <w:pPr>
        <w:spacing w:line="480" w:lineRule="auto" w:before="0" w:after="0"/>
        <w:ind w:firstLine="720"/>
        <w:jc w:val="both"/>
      </w:pPr>
      <w:r>
        <w:rPr>
          <w:rFonts w:ascii="Georgia" w:hAnsi="Georgia" w:eastAsia="Georgia"/>
          <w:sz w:val="22"/>
        </w:rPr>
        <w:t>Halabisaz et al. (2014) focus the comparison on thesis abstracts in applied linguistics. They sampled 300 master’s abstracts written between 2000 and 2013, split between English L1 writers and Iranian L2 writers, and coded hedges according to Crompton’s (1997) taxonomy. English L1 writers used more hedging devices overall. L2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L1–L2 differences in hedging can appear even among writers who have completed substantial graduate coursework in a language-related field.</w:t>
      </w:r>
    </w:p>
    <w:p>
      <w:pPr>
        <w:spacing w:line="480" w:lineRule="auto" w:before="0" w:after="0"/>
        <w:ind w:firstLine="720"/>
        <w:jc w:val="both"/>
      </w:pPr>
      <w:r>
        <w:rPr>
          <w:rFonts w:ascii="Georgia" w:hAnsi="Georgia" w:eastAsia="Georgia"/>
          <w:sz w:val="22"/>
        </w:rPr>
        <w:t>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pPr>
        <w:spacing w:line="480" w:lineRule="auto" w:before="0" w:after="0"/>
        <w:ind w:firstLine="720"/>
        <w:jc w:val="both"/>
      </w:pPr>
      <w:r>
        <w:rPr>
          <w:rFonts w:ascii="Georgia" w:hAnsi="Georgia" w:eastAsia="Georgia"/>
          <w:sz w:val="22"/>
        </w:rPr>
        <w:t>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p>
    <w:p>
      <w:pPr>
        <w:spacing w:line="480" w:lineRule="auto" w:before="0" w:after="0"/>
        <w:ind w:firstLine="720"/>
        <w:jc w:val="both"/>
      </w:pPr>
      <w:r>
        <w:rPr>
          <w:rFonts w:ascii="Georgia" w:hAnsi="Georgia" w:eastAsia="Georgia"/>
          <w:sz w:val="22"/>
        </w:rPr>
        <w:t>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p>
    <w:p>
      <w:pPr>
        <w:spacing w:line="480" w:lineRule="auto" w:before="0" w:after="0"/>
        <w:ind w:firstLine="720"/>
        <w:jc w:val="both"/>
      </w:pPr>
      <w:r>
        <w:rPr>
          <w:rFonts w:ascii="Georgia" w:hAnsi="Georgia" w:eastAsia="Georgia"/>
          <w:sz w:val="22"/>
        </w:rPr>
        <w:t>Mohammed (2011) takes a different cut.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p>
    <w:p>
      <w:pPr>
        <w:spacing w:line="480" w:lineRule="auto" w:before="0" w:after="0"/>
        <w:ind w:firstLine="720"/>
        <w:jc w:val="both"/>
      </w:pPr>
      <w:r>
        <w:rPr>
          <w:rFonts w:ascii="Georgia" w:hAnsi="Georgia" w:eastAsia="Georgia"/>
          <w:sz w:val="22"/>
        </w:rPr>
        <w:t>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p>
    <w:p>
      <w:pPr>
        <w:spacing w:line="480" w:lineRule="auto" w:before="0" w:after="0"/>
        <w:ind w:firstLine="720"/>
        <w:jc w:val="both"/>
      </w:pPr>
      <w:r>
        <w:rPr>
          <w:rFonts w:ascii="Georgia" w:hAnsi="Georgia" w:eastAsia="Georgia"/>
          <w:sz w:val="22"/>
        </w:rPr>
        <w:t>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p>
    <w:p>
      <w:pPr>
        <w:spacing w:line="480" w:lineRule="auto" w:before="0" w:after="0"/>
        <w:ind w:firstLine="720"/>
        <w:jc w:val="both"/>
      </w:pPr>
      <w:r>
        <w:rPr>
          <w:rFonts w:ascii="Georgia" w:hAnsi="Georgia" w:eastAsia="Georgia"/>
          <w:sz w:val="22"/>
        </w:rPr>
        <w:t>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p>
    <w:p>
      <w:pPr>
        <w:spacing w:line="480" w:lineRule="auto" w:before="0" w:after="0"/>
        <w:ind w:firstLine="720"/>
        <w:jc w:val="both"/>
      </w:pPr>
      <w:r>
        <w:rPr>
          <w:rFonts w:ascii="Georgia" w:hAnsi="Georgia" w:eastAsia="Georgia"/>
          <w:sz w:val="22"/>
        </w:rPr>
        <w:t>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Hedging rises where writers move from measurement to interpretation, generalization, or clinical implication. The same medical discourse can therefore look firm in the results strip and still manage claim responsibility in the interpretive strip.</w:t>
      </w:r>
    </w:p>
    <w:p>
      <w:pPr>
        <w:jc w:val="both"/>
      </w:pPr>
      <w:r>
        <w:t>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p>
    <w:p>
      <w:pPr>
        <w:jc w:val="both"/>
      </w:pPr>
      <w:r>
        <w:t>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p>
    <w:p>
      <w:pPr>
        <w:jc w:val="both"/>
      </w:pPr>
      <w:r>
        <w:t>Cross-field comparisons complicate any simple medical-versus-other ranking.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p>
    <w:p>
      <w:pPr>
        <w:spacing w:line="480" w:lineRule="auto" w:before="0" w:after="0"/>
        <w:ind w:firstLine="720"/>
        <w:jc w:val="both"/>
      </w:pPr>
      <w:r>
        <w:rPr>
          <w:rFonts w:ascii="Georgia" w:hAnsi="Georgia" w:eastAsia="Georgia"/>
          <w:sz w:val="22"/>
        </w:rPr>
        <w:t>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p>
    <w:p>
      <w:pPr>
        <w:spacing w:line="480" w:lineRule="auto" w:before="0" w:after="0"/>
        <w:ind w:firstLine="720"/>
        <w:jc w:val="both"/>
      </w:pPr>
      <w:r>
        <w:rPr>
          <w:rFonts w:ascii="Georgia" w:hAnsi="Georgia" w:eastAsia="Georgia"/>
          <w:sz w:val="22"/>
        </w:rPr>
        <w:t>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L2 settings, the expert picture is a target rather than a description of current practice. The present study asks whether PSAU undergraduates in three applied programs already show any of that field-sensitive differentiation in the compressed genre of the thesis abstract.</w:t>
      </w:r>
    </w:p>
    <w:p w:rsidR="00000000" w:rsidDel="00000000" w:rsidP="00000000" w:rsidRDefault="00000000" w:rsidRPr="00000000" w14:paraId="00000029">
      <w:pPr>
        <w:keepNext w:val="1"/>
        <w:spacing w:after="120" w:before="240" w:line="480" w:lineRule="auto"/>
        <w:ind w:firstLine="0"/>
        <w:rPr>
          <w:sz w:val="24"/>
          <w:szCs w:val="24"/>
        </w:rPr>
      </w:pPr>
      <w:r w:rsidDel="00000000" w:rsidR="00000000" w:rsidRPr="00000000">
        <w:rPr>
          <w:i w:val="1"/>
          <w:iCs w:val="1"/>
          <w:sz w:val="24"/>
          <w:szCs w:val="24"/>
          <w:rtl w:val="0"/>
        </w:rPr>
        <w:t xml:space="preserve">Hedging in L2 and EFL Contexts</w:t>
      </w:r>
      <w:r w:rsidDel="00000000" w:rsidR="00000000" w:rsidRPr="00000000">
        <w:rPr>
          <w:rtl w:val="0"/>
        </w:rPr>
      </w:r>
    </w:p>
    <w:p>
      <w:pPr>
        <w:spacing w:line="480" w:lineRule="auto" w:before="0" w:after="0"/>
        <w:ind w:firstLine="720"/>
        <w:jc w:val="both"/>
      </w:pPr>
      <w:r>
        <w:rPr>
          <w:rFonts w:ascii="Georgia" w:hAnsi="Georgia" w:cs="Georgia"/>
        </w:rPr>
        <w:t>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p>
    <w:p>
      <w:pPr>
        <w:spacing w:line="480" w:lineRule="auto" w:before="0" w:after="0"/>
        <w:ind w:firstLine="720"/>
        <w:jc w:val="both"/>
      </w:pPr>
      <w:r>
        <w:rPr>
          <w:rFonts w:ascii="Georgia" w:hAnsi="Georgia" w:cs="Georgia"/>
        </w:rPr>
        <w:t>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p>
    <w:p>
      <w:pPr>
        <w:spacing w:line="480" w:lineRule="auto" w:before="0" w:after="0"/>
        <w:ind w:firstLine="720"/>
        <w:jc w:val="both"/>
      </w:pPr>
      <w:r>
        <w:rPr>
          <w:rFonts w:ascii="Georgia" w:hAnsi="Georgia" w:cs="Georgia" w:eastAsia="Georgia"/>
          <w:sz w:val="22"/>
        </w:rPr>
        <w:t>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p>
    <w:p>
      <w:pPr>
        <w:spacing w:line="480" w:lineRule="auto" w:before="0" w:after="0"/>
        <w:ind w:firstLine="720"/>
        <w:jc w:val="both"/>
      </w:pPr>
      <w:r>
        <w:rPr>
          <w:rFonts w:ascii="Georgia" w:hAnsi="Georgia" w:cs="Georgia"/>
        </w:rPr>
        <w:t>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p>
    <w:p>
      <w:pPr>
        <w:spacing w:line="480" w:lineRule="auto" w:before="0" w:after="0"/>
        <w:ind w:firstLine="720"/>
        <w:jc w:val="both"/>
      </w:pPr>
      <w:r>
        <w:rPr>
          <w:rFonts w:ascii="Georgia" w:hAnsi="Georgia" w:cs="Georgia"/>
        </w:rPr>
        <w:t>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p>
    <w:p>
      <w:pPr>
        <w:spacing w:line="480" w:lineRule="auto" w:before="0" w:after="0"/>
        <w:ind w:firstLine="720"/>
        <w:jc w:val="both"/>
      </w:pPr>
      <w:r>
        <w:rPr>
          <w:rFonts w:ascii="Georgia" w:hAnsi="Georgia" w:cs="Georgia"/>
        </w:rPr>
        <w:t>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p>
    <w:p w:rsidR="00000000" w:rsidDel="00000000" w:rsidP="00000000" w:rsidRDefault="00000000" w:rsidRPr="00000000" w14:paraId="0000002C">
      <w:pPr>
        <w:keepNext w:val="1"/>
        <w:spacing w:after="120" w:before="240" w:line="480" w:lineRule="auto"/>
        <w:ind w:firstLine="0"/>
        <w:rPr>
          <w:sz w:val="24"/>
          <w:szCs w:val="24"/>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Pr>
          <w:rFonts w:ascii="Georgia" w:hAnsi="Georgia" w:cs="Georgia"/>
        </w:rPr>
        <w:t>Philippine and regional findings align with the broader L2 picture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No published study identified in this review has examined hedging in undergraduate thesis abstracts from applied life sciences in a Philippine L2 setting. That gap is the present study's descriptive starting point.</w:t>
      </w:r>
    </w:p>
    <w:p w:rsidR="00000000" w:rsidDel="00000000" w:rsidP="00000000" w:rsidRDefault="00000000" w:rsidRPr="00000000" w14:paraId="0000002E">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tl w:val="0"/>
        </w:rPr>
        <w:t>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p>
    <w:p>
      <w:pPr>
        <w:jc w:val="both"/>
      </w:pPr>
      <w:r>
        <w:t>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L2 medium.</w:t>
      </w:r>
    </w:p>
    <w:p>
      <w:pPr>
        <w:jc w:val="both"/>
      </w:pPr>
      <w:r>
        <w:t>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p>
    <w:p>
      <w:pPr>
        <w:jc w:val="both"/>
      </w:pPr>
      <w:r>
        <w:t>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L2 postgraduate linguistics sample to the abstract-focused record and shows that even language-focused programs still balance caution against certainty marking under abstract constraints.</w:t>
      </w:r>
    </w:p>
    <w:p>
      <w:pPr>
        <w:jc w:val="both"/>
      </w:pPr>
      <w:r>
        <w:t>Mazidah et al. (2022), reviewed under undergraduate writing, found a soft-versus-hard contrast in undergraduate thesis abstracts at Qomaruddin University that aligns with the graduate pattern reported by Wahyuningsih and Sofwan (2014). English-education abstracts used more hedges. Mathematics abstracts used more boosters.</w:t>
      </w:r>
    </w:p>
    <w:p>
      <w:pPr>
        <w:jc w:val="both"/>
      </w:pPr>
      <w:r>
        <w:t>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p>
    <w:p>
      <w:pPr>
        <w:jc w:val="both"/>
      </w:pPr>
      <w:r>
        <w:t>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sidDel="00000000" w:rsidR="00000000" w:rsidRPr="00000000">
        <w:rPr>
          <w:rtl w:val="0"/>
        </w:rPr>
        <w:t>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L2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p>
    <w:p>
      <w:pPr>
        <w:jc w:val="both"/>
      </w:pPr>
      <w:r>
        <w:t>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L2 institutional conditions, and whether that differentiation shows up in density, form mix, function, or some combination of the three.</w:t>
      </w:r>
    </w:p>
    <w:p>
      <w:pPr>
        <w:jc w:val="both"/>
      </w:pPr>
      <w:r>
        <w:t>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p>
    <w:p>
      <w:pPr>
        <w:jc w:val="both"/>
      </w:pPr>
      <w:r>
        <w:t>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p>
    <w:p w:rsidR="00000000" w:rsidDel="00000000" w:rsidP="00000000" w:rsidRDefault="00000000" w:rsidRPr="00000000" w14:paraId="00000031">
      <w:pPr>
        <w:spacing w:after="0" w:before="0" w:line="480" w:lineRule="auto"/>
        <w:ind w:firstLine="720"/>
        <w:jc w:val="both"/>
        <w:rPr/>
      </w:pPr>
      <w:r w:rsidDel="00000000" w:rsidR="00000000" w:rsidRPr="00000000">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w:t>
      </w:r>
    </w:p>
    <w:p>
      <w:pPr>
        <w:jc w:val="both"/>
      </w:pPr>
      <w:r>
        <w:t>The present study takes up that intersection at PSAU. It maps hedge type, density, and function across three applied life sciences programs that share one institution and one L2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p>
    <w:p w:rsidR="00000000" w:rsidDel="00000000" w:rsidP="00000000" w:rsidRDefault="00000000" w:rsidRPr="00000000" w14:paraId="00000032">
      <w:pPr>
        <w:keepNext w:val="1"/>
        <w:spacing w:after="120" w:before="240" w:line="480" w:lineRule="auto"/>
        <w:ind w:firstLine="0"/>
        <w:rPr>
          <w:sz w:val="24"/>
          <w:szCs w:val="24"/>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sidDel="00000000" w:rsidR="00000000" w:rsidRPr="00000000">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sidDel="00000000" w:rsidR="00000000" w:rsidRPr="00000000">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tl w:val="0"/>
        </w:rPr>
        <w:t>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is reduced commitment to the truth of a knowledge claim. Politeness/deference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sidDel="00000000" w:rsidR="00000000" w:rsidRPr="00000000">
        <w:rPr>
          <w:rtl w:val="0"/>
        </w:rPr>
        <w:t>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epistemic caution. Reader Test: remove the device. If epistemic weight stays the same but the claim reaches the reader more bluntly or the writer takes sole ownership against prior work → politeness/deference. Neither check met → false positive. Retention and function assignment are the same operation by design. A token qualifies as a hedge by passing at least one test, and which test it passes is its function. epistemic caution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epistemic caution and P tokens. Reason codes (false positive, false positive, false positive, false positive) label residual rejects. Among retained hedges, the research questions on function ask how tokens split across epistemic caution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sidDel="00000000" w:rsidR="00000000" w:rsidRPr="00000000">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03F">
      <w:pPr>
        <w:spacing w:after="240" w:before="120" w:line="480" w:lineRule="auto"/>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480" w:lineRule="auto"/>
        <w:jc w:val="center"/>
        <w:rPr/>
      </w:pPr>
      <w:r w:rsidDel="00000000" w:rsidR="00000000" w:rsidRPr="00000000">
        <w:rPr>
          <w:i w:val="1"/>
          <w:iCs w:val="1"/>
          <w:rtl w:val="0"/>
        </w:rPr>
        <w:t xml:space="preserve">Conceptual Framework of the Study</w:t>
      </w:r>
      <w:r w:rsidDel="00000000" w:rsidR="00000000" w:rsidRPr="00000000">
        <w:rPr>
          <w:rtl w:val="0"/>
        </w:rPr>
      </w:r>
    </w:p>
    <w:p w:rsidR="00000000" w:rsidDel="00000000" w:rsidP="00000000" w:rsidRDefault="00000000" w:rsidRPr="00000000" w14:paraId="00000041">
      <w:pPr>
        <w:keepNext w:val="1"/>
        <w:spacing w:after="120" w:before="240" w:line="480" w:lineRule="auto"/>
        <w:ind w:firstLine="0"/>
        <w:rPr>
          <w:sz w:val="24"/>
          <w:szCs w:val="24"/>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b w:val="1"/>
          <w:bCs w:val="1"/>
          <w:rtl w:val="0"/>
        </w:rPr>
        <w:t xml:space="preserve">For writing instructors and thesis advisers at PSAU, </w:t>
      </w:r>
      <w:r w:rsidDel="00000000" w:rsidR="00000000" w:rsidRPr="00000000">
        <w:rPr>
          <w:rtl w:val="0"/>
        </w:rPr>
        <w:t xml:space="preserve">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rtl w:val="0"/>
        </w:rPr>
        <w:t xml:space="preserve">be cautious</w:t>
      </w:r>
      <w:r w:rsidDel="00000000" w:rsidR="00000000" w:rsidRPr="00000000">
        <w:rPr>
          <w:rtl w:val="0"/>
        </w:rPr>
        <w:t xml:space="preserve">.”</w:t>
      </w:r>
    </w:p>
    <w:p w:rsidR="00000000" w:rsidDel="00000000" w:rsidP="00000000" w:rsidRDefault="00000000" w:rsidRPr="00000000" w14:paraId="00000043">
      <w:pPr>
        <w:spacing w:after="0" w:before="0" w:line="480" w:lineRule="auto"/>
        <w:ind w:firstLine="720"/>
        <w:jc w:val="both"/>
        <w:rPr/>
      </w:pPr>
      <w:r w:rsidDel="00000000" w:rsidR="00000000" w:rsidRPr="00000000">
        <w:rPr>
          <w:b w:val="1"/>
          <w:bCs w:val="1"/>
          <w:rtl w:val="0"/>
        </w:rPr>
        <w:t xml:space="preserve">For academic writing researchers, </w:t>
      </w:r>
      <w:r w:rsidDel="00000000" w:rsidR="00000000" w:rsidRPr="00000000">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sidDel="00000000" w:rsidR="00000000" w:rsidRPr="00000000">
        <w:rPr>
          <w:b w:val="1"/>
          <w:bCs w:val="1"/>
          <w:rtl w:val="0"/>
        </w:rPr>
        <w:t xml:space="preserve">For the BAELS program, </w:t>
      </w:r>
      <w:r w:rsidDel="00000000" w:rsidR="00000000" w:rsidRPr="00000000">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sidDel="00000000" w:rsidR="00000000" w:rsidRPr="00000000">
        <w:rPr>
          <w:b w:val="1"/>
          <w:bCs w:val="1"/>
          <w:rtl w:val="0"/>
        </w:rPr>
        <w:t xml:space="preserve">For future researchers, </w:t>
      </w:r>
      <w:r w:rsidDel="00000000" w:rsidR="00000000" w:rsidRPr="00000000">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Pr>
          <w:rFonts w:ascii="Georgia" w:hAnsi="Georgia" w:eastAsia="Georgia" w:cs="Georgia"/>
          <w:b w:val="0"/>
          <w:sz w:val="22"/>
        </w:rPr>
        <w:t>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For a manually coded functional analysis within a single institution, 60 texts are treated as sufficient for identifying patterns within the limits of a BA thesis. Findings are indicative patterns in the PSAU context. The pilot comparison appears in Appendix B.</w:t>
      </w:r>
    </w:p>
    <w:p w:rsidR="00000000" w:rsidDel="00000000" w:rsidP="00000000" w:rsidRDefault="00000000" w:rsidRPr="00000000" w14:paraId="00000049">
      <w:pPr>
        <w:spacing w:after="0" w:before="0" w:line="480" w:lineRule="auto"/>
        <w:ind w:firstLine="720"/>
        <w:jc w:val="both"/>
        <w:rPr/>
      </w:pPr>
      <w:r w:rsidDel="00000000" w:rsidR="00000000" w:rsidRPr="00000000">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sidDel="00000000" w:rsidR="00000000" w:rsidRPr="00000000">
        <w:rPr>
          <w:strike w:val="0"/>
          <w:rtl w:val="0"/>
        </w:rPr>
        <w:t>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sidDel="00000000" w:rsidR="00000000" w:rsidRPr="00000000">
        <w:rPr>
          <w:b w:val="1"/>
          <w:bCs w:val="1"/>
          <w:rtl w:val="0"/>
        </w:rPr>
        <w:t xml:space="preserve">Abstract</w:t>
      </w:r>
      <w:r w:rsidDel="00000000" w:rsidR="00000000" w:rsidRPr="00000000">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sidDel="00000000" w:rsidR="00000000" w:rsidRPr="00000000">
        <w:rPr>
          <w:b w:val="1"/>
          <w:bCs w:val="1"/>
          <w:rtl w:val="0"/>
        </w:rPr>
        <w:t xml:space="preserve">Adverbial Hedges</w:t>
      </w:r>
      <w:r w:rsidDel="00000000" w:rsidR="00000000" w:rsidRPr="00000000">
        <w:rPr>
          <w:rtl w:val="0"/>
        </w:rPr>
        <w:t xml:space="preserve">, conceptually, are adverbs or adverbial expressions that qualify the scope, frequency, or certainty of a proposition. Operationally, these include </w:t>
      </w:r>
      <w:r w:rsidDel="00000000" w:rsidR="00000000" w:rsidRPr="00000000">
        <w:rPr>
          <w:i w:val="1"/>
          <w:iCs w:val="1"/>
          <w:rtl w:val="0"/>
        </w:rPr>
        <w:t xml:space="preserve">generally, typically, possibly, probably, relatively, and essentially</w:t>
      </w:r>
      <w:r w:rsidDel="00000000" w:rsidR="00000000" w:rsidRPr="00000000">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sidDel="00000000" w:rsidR="00000000" w:rsidRPr="00000000">
        <w:rPr>
          <w:b w:val="1"/>
          <w:bCs w:val="1"/>
          <w:rtl w:val="0"/>
        </w:rPr>
        <w:t xml:space="preserve">Applied Life Sciences</w:t>
      </w:r>
      <w:r w:rsidDel="00000000" w:rsidR="00000000" w:rsidRPr="00000000">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sidDel="00000000" w:rsidR="00000000" w:rsidRPr="00000000">
        <w:rPr>
          <w:b w:val="1"/>
          <w:bCs w:val="1"/>
          <w:rtl w:val="0"/>
        </w:rPr>
        <w:t xml:space="preserve">Claim Responsibility</w:t>
      </w:r>
      <w:r w:rsidDel="00000000" w:rsidR="00000000" w:rsidRPr="00000000">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5">
      <w:pPr>
        <w:spacing w:after="0" w:before="0" w:line="480" w:lineRule="auto"/>
        <w:ind w:firstLine="720"/>
        <w:jc w:val="both"/>
        <w:rPr/>
      </w:pPr>
      <w:r w:rsidDel="00000000" w:rsidR="00000000" w:rsidRPr="00000000">
        <w:rPr>
          <w:b w:val="1"/>
          <w:bCs w:val="1"/>
          <w:rtl w:val="0"/>
        </w:rPr>
        <w:t xml:space="preserve">Clause-Level Hedges</w:t>
      </w:r>
      <w:r w:rsidDel="00000000" w:rsidR="00000000" w:rsidRPr="00000000">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7">
      <w:pPr>
        <w:spacing w:after="0" w:before="0" w:line="480" w:lineRule="auto"/>
        <w:ind w:firstLine="720"/>
        <w:jc w:val="both"/>
        <w:rPr/>
      </w:pPr>
      <w:r w:rsidDel="00000000" w:rsidR="00000000" w:rsidRPr="00000000">
        <w:rPr>
          <w:b w:val="1"/>
          <w:bCs w:val="1"/>
          <w:rtl w:val="0"/>
        </w:rPr>
        <w:t xml:space="preserve">Corpus-Assisted Discourse Analysis</w:t>
      </w:r>
      <w:r w:rsidDel="00000000" w:rsidR="00000000" w:rsidRPr="00000000">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sidDel="00000000" w:rsidR="00000000" w:rsidRPr="00000000">
        <w:rPr>
          <w:b w:val="1"/>
          <w:bCs w:val="1"/>
          <w:rtl w:val="0"/>
        </w:rPr>
        <w:t xml:space="preserve">Disciplinary Variation</w:t>
      </w:r>
      <w:r w:rsidDel="00000000" w:rsidR="00000000" w:rsidRPr="00000000">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sidDel="00000000" w:rsidR="00000000" w:rsidRPr="00000000">
        <w:rPr>
          <w:b w:val="1"/>
          <w:bCs w:val="1"/>
          <w:rtl w:val="0"/>
        </w:rPr>
        <w:t xml:space="preserve">Epistemic Stance</w:t>
      </w:r>
      <w:r w:rsidDel="00000000" w:rsidR="00000000" w:rsidRPr="00000000">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sidDel="00000000" w:rsidR="00000000" w:rsidRPr="00000000">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p>
    <w:p w:rsidR="00000000" w:rsidDel="00000000" w:rsidP="00000000" w:rsidRDefault="00000000" w:rsidRPr="00000000" w14:paraId="0000005B">
      <w:pPr>
        <w:spacing w:after="0" w:before="0" w:line="480" w:lineRule="auto"/>
        <w:ind w:firstLine="720"/>
        <w:jc w:val="both"/>
        <w:rPr/>
      </w:pPr>
      <w:r w:rsidDel="00000000" w:rsidR="00000000" w:rsidRPr="00000000">
        <w:rPr>
          <w:b w:val="1"/>
          <w:bCs w:val="1"/>
          <w:rtl w:val="0"/>
        </w:rPr>
        <w:t>Hedge Function,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p>
    <w:p w:rsidR="00000000" w:rsidDel="00000000" w:rsidP="00000000" w:rsidRDefault="00000000" w:rsidRPr="00000000" w14:paraId="0000005C">
      <w:pPr>
        <w:spacing w:after="0" w:before="0" w:line="480" w:lineRule="auto"/>
        <w:ind w:firstLine="720"/>
        <w:jc w:val="both"/>
        <w:rPr/>
      </w:pPr>
      <w:r w:rsidDel="00000000" w:rsidR="00000000" w:rsidRPr="00000000">
        <w:rPr>
          <w:b w:val="1"/>
          <w:bCs w:val="1"/>
          <w:rtl w:val="0"/>
        </w:rPr>
        <w:t xml:space="preserve">Hedging</w:t>
      </w:r>
      <w:r w:rsidDel="00000000" w:rsidR="00000000" w:rsidRPr="00000000">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E">
      <w:pPr>
        <w:spacing w:after="0" w:before="0" w:line="480" w:lineRule="auto"/>
        <w:ind w:firstLine="720"/>
        <w:jc w:val="both"/>
        <w:rPr/>
      </w:pPr>
      <w:r w:rsidDel="00000000" w:rsidR="00000000" w:rsidRPr="00000000">
        <w:rPr>
          <w:b w:val="1"/>
          <w:bCs w:val="1"/>
          <w:rtl w:val="0"/>
        </w:rPr>
        <w:t xml:space="preserve">Lexical Hedges</w:t>
      </w:r>
      <w:r w:rsidDel="00000000" w:rsidR="00000000" w:rsidRPr="00000000">
        <w:rPr>
          <w:rtl w:val="0"/>
        </w:rPr>
        <w:t xml:space="preserve">, conceptually, are verbs, adjectives, or nouns that introduce uncertainty or tentativeness at the propositional level. Operationally, these include verbs such as </w:t>
      </w:r>
      <w:r w:rsidDel="00000000" w:rsidR="00000000" w:rsidRPr="00000000">
        <w:rPr>
          <w:i w:val="1"/>
          <w:iCs w:val="1"/>
          <w:rtl w:val="0"/>
        </w:rPr>
        <w:t xml:space="preserve">suggest, indicate, appear</w:t>
      </w:r>
      <w:r w:rsidDel="00000000" w:rsidR="00000000" w:rsidRPr="00000000">
        <w:rPr>
          <w:rtl w:val="0"/>
        </w:rPr>
        <w:t xml:space="preserve">, and </w:t>
      </w:r>
      <w:r w:rsidDel="00000000" w:rsidR="00000000" w:rsidRPr="00000000">
        <w:rPr>
          <w:i w:val="1"/>
          <w:iCs w:val="1"/>
          <w:rtl w:val="0"/>
        </w:rPr>
        <w:t xml:space="preserve">seem</w:t>
      </w:r>
      <w:r w:rsidDel="00000000" w:rsidR="00000000" w:rsidRPr="00000000">
        <w:rPr>
          <w:rtl w:val="0"/>
        </w:rPr>
        <w:t xml:space="preserve">. They also include adjectives such as possible, probable, and likely, and nouns such as </w:t>
      </w:r>
      <w:r w:rsidDel="00000000" w:rsidR="00000000" w:rsidRPr="00000000">
        <w:rPr>
          <w:i w:val="1"/>
          <w:iCs w:val="1"/>
          <w:rtl w:val="0"/>
        </w:rPr>
        <w:t xml:space="preserve">possibility</w:t>
      </w:r>
      <w:r w:rsidDel="00000000" w:rsidR="00000000" w:rsidRPr="00000000">
        <w:rPr>
          <w:rtl w:val="0"/>
        </w:rPr>
        <w:t xml:space="preserve"> and </w:t>
      </w:r>
      <w:r w:rsidDel="00000000" w:rsidR="00000000" w:rsidRPr="00000000">
        <w:rPr>
          <w:i w:val="1"/>
          <w:iCs w:val="1"/>
          <w:rtl w:val="0"/>
        </w:rPr>
        <w:t xml:space="preserve">assumption</w:t>
      </w:r>
      <w:r w:rsidDel="00000000" w:rsidR="00000000" w:rsidRPr="00000000">
        <w:rPr>
          <w:rtl w:val="0"/>
        </w:rPr>
        <w:t xml:space="preserve">. These are coded in this study when they express epistemic qualification of a claim rather than description or recommendation.</w:t>
      </w:r>
    </w:p>
    <w:p w:rsidR="00000000" w:rsidDel="00000000" w:rsidP="00000000" w:rsidRDefault="00000000" w:rsidRPr="00000000" w14:paraId="00000060">
      <w:pPr>
        <w:spacing w:after="0" w:before="0" w:line="480" w:lineRule="auto"/>
        <w:ind w:firstLine="720"/>
        <w:jc w:val="both"/>
        <w:rPr/>
      </w:pPr>
      <w:r w:rsidDel="00000000" w:rsidR="00000000" w:rsidRPr="00000000">
        <w:rPr>
          <w:b w:val="1"/>
          <w:bCs w:val="1"/>
          <w:rtl w:val="0"/>
        </w:rPr>
        <w:t xml:space="preserve">Modal Verbs</w:t>
      </w:r>
      <w:r w:rsidDel="00000000" w:rsidR="00000000" w:rsidRPr="00000000">
        <w:rPr>
          <w:rtl w:val="0"/>
        </w:rPr>
        <w:t xml:space="preserve">, conceptually, are auxiliary verbs that express degrees of possibility, probability, or conditionality. Operationally, these include </w:t>
      </w:r>
      <w:r w:rsidDel="00000000" w:rsidR="00000000" w:rsidRPr="00000000">
        <w:rPr>
          <w:i w:val="1"/>
          <w:iCs w:val="1"/>
          <w:rtl w:val="0"/>
        </w:rPr>
        <w:t xml:space="preserve">may, might, could, would, should</w:t>
      </w:r>
      <w:r w:rsidDel="00000000" w:rsidR="00000000" w:rsidRPr="00000000">
        <w:rPr>
          <w:rtl w:val="0"/>
        </w:rPr>
        <w:t xml:space="preserve">, and </w:t>
      </w:r>
      <w:r w:rsidDel="00000000" w:rsidR="00000000" w:rsidRPr="00000000">
        <w:rPr>
          <w:i w:val="1"/>
          <w:iCs w:val="1"/>
          <w:rtl w:val="0"/>
        </w:rPr>
        <w:t xml:space="preserve">can</w:t>
      </w:r>
      <w:r w:rsidDel="00000000" w:rsidR="00000000" w:rsidRPr="00000000">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sidDel="00000000" w:rsidR="00000000" w:rsidRPr="00000000">
        <w:rPr>
          <w:b w:val="1"/>
          <w:bCs w:val="1"/>
          <w:rtl w:val="0"/>
        </w:rPr>
        <w:t xml:space="preserve">Normalized Frequency</w:t>
      </w:r>
      <w:r w:rsidDel="00000000" w:rsidR="00000000" w:rsidRPr="00000000">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sidDel="00000000" w:rsidR="00000000" w:rsidRPr="00000000">
        <w:rPr>
          <w:b w:val="1"/>
          <w:bCs w:val="1"/>
          <w:rtl w:val="0"/>
        </w:rPr>
        <w:t>Operational Restatement (Threshold Restatement),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p>
    <w:p w:rsidR="00000000" w:rsidDel="00000000" w:rsidP="00000000" w:rsidRDefault="00000000" w:rsidRPr="00000000" w14:paraId="00000063">
      <w:pPr>
        <w:spacing w:after="0" w:before="0" w:line="480" w:lineRule="auto"/>
        <w:ind w:firstLine="720"/>
        <w:jc w:val="both"/>
        <w:rPr/>
      </w:pPr>
      <w:r w:rsidDel="00000000" w:rsidR="00000000" w:rsidRPr="00000000">
        <w:rPr>
          <w:b w:val="1"/>
          <w:bCs w:val="1"/>
          <w:rtl w:val="0"/>
        </w:rPr>
        <w:t xml:space="preserve">Rescue-Hedging (Rescue Framing)</w:t>
      </w:r>
      <w:r w:rsidDel="00000000" w:rsidR="00000000" w:rsidRPr="00000000">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sidDel="00000000" w:rsidR="00000000" w:rsidRPr="00000000">
        <w:rPr>
          <w:b w:val="1"/>
          <w:bCs w:val="1"/>
          <w:rtl w:val="0"/>
        </w:rPr>
        <w:t>Softening,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pPr>
        <w:jc w:val="both"/>
      </w:pPr>
      <w:r>
        <w:rPr>
          <w:b/>
        </w:rPr>
        <w:t>Token</w:t>
      </w:r>
      <w:r>
        <w:t>,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p>
    <w:p w:rsidR="00000000" w:rsidDel="00000000" w:rsidP="00000000" w:rsidRDefault="00000000" w:rsidRPr="00000000" w14:paraId="00000065">
      <w:pPr>
        <w:spacing w:after="240" w:before="720" w:line="480" w:lineRule="auto"/>
        <w:ind w:firstLine="0"/>
        <w:jc w:val="center"/>
        <w:rPr>
          <w:sz w:val="28"/>
          <w:szCs w:val="28"/>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sidDel="00000000" w:rsidR="00000000" w:rsidRPr="00000000">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sidDel="00000000" w:rsidR="00000000" w:rsidRPr="00000000">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a. Requesting Permission. </w:t>
      </w:r>
      <w:r w:rsidDel="00000000" w:rsidR="00000000" w:rsidRPr="00000000">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b. Corpus Construction.</w:t>
      </w:r>
      <w:r w:rsidDel="00000000" w:rsidR="00000000" w:rsidRPr="00000000">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c. Text Extraction.</w:t>
      </w:r>
      <w:r w:rsidDel="00000000" w:rsidR="00000000" w:rsidRPr="00000000">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d. Pilot Testing and Codebook Refinement.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f. Timeline. </w:t>
      </w:r>
      <w:r w:rsidDel="00000000" w:rsidR="00000000" w:rsidRPr="00000000">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sidDel="00000000" w:rsidR="00000000" w:rsidRPr="00000000">
        <w:rPr>
          <w:b w:val="1"/>
          <w:b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Pr>
          <w:rFonts w:ascii="Georgia" w:hAnsi="Georgia" w:eastAsia="Georgia"/>
          <w:b w:val="0"/>
          <w:sz w:val="22"/>
        </w:rPr>
        <w:t>Ambiguous forms such as can, potential, indicating, and possibility may function either as epistemic hedges or as non-epistemic lexical items depending on context. Table 1 summarizes how the claim condition and the two removal checks are applied to the main boundary constructions in this corpus.</w:t>
      </w:r>
    </w:p>
    <w:p>
      <w:pPr>
        <w:spacing w:before="120" w:after="0" w:line="480" w:lineRule="auto"/>
        <w:ind w:firstLine="0"/>
        <w:jc w:val="center"/>
      </w:pPr>
      <w:r>
        <w:rPr>
          <w:rFonts w:ascii="Georgia" w:hAnsi="Georgia" w:eastAsia="Georgia"/>
          <w:b/>
          <w:sz w:val="22"/>
        </w:rPr>
        <w:t>Table 1</w:t>
      </w:r>
    </w:p>
    <w:p>
      <w:pPr>
        <w:spacing w:line="480" w:lineRule="auto"/>
        <w:ind w:firstLine="0"/>
        <w:jc w:val="center"/>
      </w:pPr>
      <w:r>
        <w:rPr>
          <w:rFonts w:ascii="Georgia" w:hAnsi="Georgia" w:eastAsia="Georgia"/>
          <w:b w:val="0"/>
          <w:sz w:val="22"/>
        </w:rPr>
        <w:t>Decision rules for ambiguous hedge forms.</w:t>
      </w:r>
    </w:p>
    <w:tbl>
      <w:tblPr>
        <w:tblStyle w:val="Table2"/>
        <w:tblW w:w="8307.0" w:type="dxa"/>
        <w:jc w:val="left"/>
        <w:tblInd w:w="-223.0" w:type="dxa"/>
        <w:tblLayout w:type="fixed"/>
        <w:tblLook w:val="0400"/>
      </w:tblPr>
      <w:tblGrid>
        <w:gridCol w:w="2769"/>
        <w:gridCol w:w="2769"/>
        <w:gridCol w:w="2769"/>
      </w:tblGrid>
      <w:tr>
        <w:tc>
          <w:tcPr>
            <w:tcW w:w="2769" w:type="dxa"/>
            <w:tcBorders>
              <w:top w:color="000000" w:space="0" w:sz="18" w:val="single"/>
              <w:bottom w:color="000000" w:space="0" w:sz="4" w:val="single"/>
            </w:tcBorders>
          </w:tcPr>
          <w:p>
            <w:pPr>
              <w:spacing w:before="0" w:after="0" w:line="240" w:lineRule="auto"/>
              <w:jc w:val="left"/>
            </w:pPr>
            <w:r>
              <w:rPr>
                <w:b/>
                <w:sz w:val="18"/>
              </w:rPr>
              <w:t>Token / construction</w:t>
            </w:r>
          </w:p>
        </w:tc>
        <w:tc>
          <w:tcPr>
            <w:tcW w:w="2769" w:type="dxa"/>
            <w:tcBorders>
              <w:top w:color="000000" w:space="0" w:sz="18" w:val="single"/>
              <w:bottom w:color="000000" w:space="0" w:sz="4" w:val="single"/>
            </w:tcBorders>
          </w:tcPr>
          <w:p>
            <w:pPr>
              <w:spacing w:before="0" w:after="0" w:line="240" w:lineRule="auto"/>
              <w:jc w:val="left"/>
            </w:pPr>
            <w:r>
              <w:rPr>
                <w:b/>
                <w:sz w:val="18"/>
              </w:rPr>
              <w:t>Hedge when</w:t>
            </w:r>
          </w:p>
        </w:tc>
        <w:tc>
          <w:tcPr>
            <w:tcW w:w="2769" w:type="dxa"/>
            <w:tcBorders>
              <w:top w:color="000000" w:space="0" w:sz="18" w:val="single"/>
              <w:bottom w:color="000000" w:space="0" w:sz="4" w:val="single"/>
            </w:tcBorders>
          </w:tcPr>
          <w:p>
            <w:pPr>
              <w:spacing w:before="0" w:after="0" w:line="240" w:lineRule="auto"/>
              <w:jc w:val="left"/>
            </w:pPr>
            <w:r>
              <w:rPr>
                <w:b/>
                <w:sz w:val="18"/>
              </w:rPr>
              <w:t>Not a hedge when</w:t>
            </w:r>
          </w:p>
        </w:tc>
      </w:tr>
      <w:tr>
        <w:tc>
          <w:tcPr>
            <w:tcW w:w="2769" w:type="dxa"/>
          </w:tcPr>
          <w:p>
            <w:pPr>
              <w:spacing w:before="0" w:after="0" w:line="240" w:lineRule="auto"/>
              <w:jc w:val="left"/>
            </w:pPr>
            <w:r>
              <w:rPr>
                <w:b w:val="0"/>
                <w:sz w:val="18"/>
              </w:rPr>
              <w:t>can + active content verb (e.g., enhance, promote, reduce, help)</w:t>
            </w:r>
          </w:p>
        </w:tc>
        <w:tc>
          <w:tcPr>
            <w:tcW w:w="2769" w:type="dxa"/>
          </w:tcPr>
          <w:p>
            <w:pPr>
              <w:spacing w:before="0" w:after="0" w:line="240" w:lineRule="auto"/>
              <w:jc w:val="left"/>
            </w:pPr>
            <w:r>
              <w:rPr>
                <w:b w:val="0"/>
                <w:sz w:val="18"/>
              </w:rPr>
              <w:t>Removing can raises the epistemic weight of a finding-claim (possibility reading).</w:t>
            </w:r>
          </w:p>
        </w:tc>
        <w:tc>
          <w:tcPr>
            <w:tcW w:w="2769" w:type="dxa"/>
          </w:tcPr>
          <w:p>
            <w:pPr>
              <w:spacing w:before="0" w:after="0" w:line="240" w:lineRule="auto"/>
              <w:jc w:val="left"/>
            </w:pPr>
            <w:r>
              <w:rPr>
                <w:b w:val="0"/>
                <w:sz w:val="18"/>
              </w:rPr>
              <w:t>Marks capability or ability only (false positive).</w:t>
            </w:r>
          </w:p>
        </w:tc>
      </w:tr>
      <w:tr>
        <w:tc>
          <w:tcPr>
            <w:tcW w:w="2769" w:type="dxa"/>
          </w:tcPr>
          <w:p>
            <w:pPr>
              <w:spacing w:before="0" w:after="0" w:line="240" w:lineRule="auto"/>
              <w:jc w:val="left"/>
            </w:pPr>
            <w:r>
              <w:rPr>
                <w:b w:val="0"/>
                <w:sz w:val="18"/>
              </w:rPr>
              <w:t>indicating / indicates</w:t>
            </w:r>
          </w:p>
        </w:tc>
        <w:tc>
          <w:tcPr>
            <w:tcW w:w="2769" w:type="dxa"/>
          </w:tcPr>
          <w:p>
            <w:pPr>
              <w:spacing w:before="0" w:after="0" w:line="240" w:lineRule="auto"/>
              <w:jc w:val="left"/>
            </w:pPr>
            <w:r>
              <w:rPr>
                <w:b w:val="0"/>
                <w:sz w:val="18"/>
              </w:rPr>
              <w:t>Introduces an inference beyond the operational definition of the result.</w:t>
            </w:r>
          </w:p>
        </w:tc>
        <w:tc>
          <w:tcPr>
            <w:tcW w:w="2769" w:type="dxa"/>
          </w:tcPr>
          <w:p>
            <w:pPr>
              <w:spacing w:before="0" w:after="0" w:line="240" w:lineRule="auto"/>
              <w:jc w:val="left"/>
            </w:pPr>
            <w:r>
              <w:rPr>
                <w:b w:val="0"/>
                <w:sz w:val="18"/>
              </w:rPr>
              <w:t>Restates a field-standard threshold or the operational meaning of the measure (false positive).</w:t>
            </w:r>
          </w:p>
        </w:tc>
      </w:tr>
      <w:tr>
        <w:tc>
          <w:tcPr>
            <w:tcW w:w="2769" w:type="dxa"/>
          </w:tcPr>
          <w:p>
            <w:pPr>
              <w:spacing w:before="0" w:after="0" w:line="240" w:lineRule="auto"/>
              <w:jc w:val="left"/>
            </w:pPr>
            <w:r>
              <w:rPr>
                <w:b w:val="0"/>
                <w:sz w:val="18"/>
              </w:rPr>
              <w:t>potential + noun</w:t>
            </w:r>
          </w:p>
        </w:tc>
        <w:tc>
          <w:tcPr>
            <w:tcW w:w="2769" w:type="dxa"/>
          </w:tcPr>
          <w:p>
            <w:pPr>
              <w:spacing w:before="0" w:after="0" w:line="240" w:lineRule="auto"/>
              <w:jc w:val="left"/>
            </w:pPr>
            <w:r>
              <w:rPr>
                <w:b w:val="0"/>
                <w:sz w:val="18"/>
              </w:rPr>
              <w:t>Results or conclusion frame that qualifies a finding-claim, and the Working Test holds.</w:t>
            </w:r>
          </w:p>
        </w:tc>
        <w:tc>
          <w:tcPr>
            <w:tcW w:w="2769" w:type="dxa"/>
          </w:tcPr>
          <w:p>
            <w:pPr>
              <w:spacing w:before="0" w:after="0" w:line="240" w:lineRule="auto"/>
              <w:jc w:val="left"/>
            </w:pPr>
            <w:r>
              <w:rPr>
                <w:b w:val="0"/>
                <w:sz w:val="18"/>
              </w:rPr>
              <w:t>Aim or methods clause (non-claim / topic-naming; fails the claim condition).</w:t>
            </w:r>
          </w:p>
        </w:tc>
      </w:tr>
      <w:tr>
        <w:tc>
          <w:tcPr>
            <w:tcW w:w="2769" w:type="dxa"/>
          </w:tcPr>
          <w:p>
            <w:pPr>
              <w:spacing w:before="0" w:after="0" w:line="240" w:lineRule="auto"/>
              <w:jc w:val="left"/>
            </w:pPr>
            <w:r>
              <w:rPr>
                <w:b w:val="0"/>
                <w:sz w:val="18"/>
              </w:rPr>
              <w:t>possibility + noun</w:t>
            </w:r>
          </w:p>
        </w:tc>
        <w:tc>
          <w:tcPr>
            <w:tcW w:w="2769" w:type="dxa"/>
          </w:tcPr>
          <w:p>
            <w:pPr>
              <w:spacing w:before="0" w:after="0" w:line="240" w:lineRule="auto"/>
              <w:jc w:val="left"/>
            </w:pPr>
            <w:r>
              <w:rPr>
                <w:b w:val="0"/>
                <w:sz w:val="18"/>
              </w:rPr>
              <w:t>Same claim-condition treatment as potential when the host is a finding-claim.</w:t>
            </w:r>
          </w:p>
        </w:tc>
        <w:tc>
          <w:tcPr>
            <w:tcW w:w="2769" w:type="dxa"/>
          </w:tcPr>
          <w:p>
            <w:pPr>
              <w:spacing w:before="0" w:after="0" w:line="240" w:lineRule="auto"/>
              <w:jc w:val="left"/>
            </w:pPr>
            <w:r>
              <w:rPr>
                <w:b w:val="0"/>
                <w:sz w:val="18"/>
              </w:rPr>
              <w:t>Aim or method sentence (non-claim).</w:t>
            </w:r>
          </w:p>
        </w:tc>
      </w:tr>
      <w:tr>
        <w:tc>
          <w:tcPr>
            <w:tcW w:w="2769" w:type="dxa"/>
            <w:tcBorders>
              <w:bottom w:color="000000" w:space="0" w:sz="18" w:val="single"/>
            </w:tcBorders>
          </w:tcPr>
          <w:p>
            <w:pPr>
              <w:spacing w:before="0" w:after="0" w:line="240" w:lineRule="auto"/>
              <w:jc w:val="left"/>
            </w:pPr>
            <w:r>
              <w:rPr>
                <w:b w:val="0"/>
                <w:sz w:val="18"/>
              </w:rPr>
              <w:t>Multiple hedge-like tokens in one sentence</w:t>
            </w:r>
          </w:p>
        </w:tc>
        <w:tc>
          <w:tcPr>
            <w:tcW w:w="2769" w:type="dxa"/>
            <w:tcBorders>
              <w:bottom w:color="000000" w:space="0" w:sz="18" w:val="single"/>
            </w:tcBorders>
          </w:tcPr>
          <w:p>
            <w:pPr>
              <w:spacing w:before="0" w:after="0" w:line="240" w:lineRule="auto"/>
              <w:jc w:val="left"/>
            </w:pPr>
            <w:r>
              <w:rPr>
                <w:b w:val="0"/>
                <w:sz w:val="18"/>
              </w:rPr>
              <w:t>Each token is tested on its own host clause under the claim condition and the two removal checks.</w:t>
            </w:r>
          </w:p>
        </w:tc>
        <w:tc>
          <w:tcPr>
            <w:tcW w:w="2769" w:type="dxa"/>
            <w:tcBorders>
              <w:bottom w:color="000000" w:space="0" w:sz="18" w:val="single"/>
            </w:tcBorders>
          </w:tcPr>
          <w:p>
            <w:pPr>
              <w:spacing w:before="0" w:after="0" w:line="240" w:lineRule="auto"/>
              <w:jc w:val="left"/>
            </w:pPr>
            <w:r>
              <w:rPr>
                <w:b w:val="0"/>
                <w:sz w:val="18"/>
              </w:rPr>
              <w:t>A preceding hedge (e.g., suggest) does not determine the function of another token (e.g., can).</w:t>
            </w:r>
          </w:p>
        </w:tc>
      </w:tr>
    </w:tbl>
    <w:p w:rsidR="00000000" w:rsidDel="00000000" w:rsidP="00000000" w:rsidRDefault="00000000" w:rsidRPr="00000000" w14:paraId="00000078">
      <w:pPr>
        <w:keepNext w:val="1"/>
        <w:spacing w:after="120" w:before="240" w:line="480" w:lineRule="auto"/>
        <w:ind w:firstLine="0"/>
        <w:rPr>
          <w:sz w:val="24"/>
          <w:szCs w:val="24"/>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br w:type="page"/>
      </w:r>
      <w:r w:rsidDel="00000000" w:rsidR="00000000" w:rsidRPr="00000000">
        <w:rPr>
          <w:rtl w:val="0"/>
        </w:rPr>
      </w:r>
    </w:p>
    <w:p w:rsidR="00000000" w:rsidDel="00000000" w:rsidP="00000000" w:rsidRDefault="00000000" w:rsidRPr="00000000" w14:paraId="000000A1">
      <w:pPr>
        <w:spacing w:after="0" w:before="0" w:line="480" w:lineRule="auto"/>
        <w:ind w:firstLine="720"/>
        <w:jc w:val="both"/>
        <w:rPr/>
      </w:pPr>
      <w:r w:rsidDel="00000000" w:rsidR="00000000" w:rsidRPr="00000000">
        <w:rPr>
          <w:b w:val="1"/>
          <w:bCs w:val="1"/>
          <w:rtl w:val="0"/>
        </w:rPr>
        <w:t xml:space="preserve">Inclusion Criteria. </w:t>
      </w:r>
      <w:r w:rsidDel="00000000" w:rsidR="00000000" w:rsidRPr="00000000">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sidDel="00000000" w:rsidR="00000000" w:rsidRPr="00000000">
        <w:rPr>
          <w:b w:val="1"/>
          <w:bCs w:val="1"/>
          <w:rtl w:val="0"/>
        </w:rPr>
        <w:t xml:space="preserve">Exclusion Criteria. </w:t>
      </w:r>
      <w:r w:rsidDel="00000000" w:rsidR="00000000" w:rsidRPr="00000000">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Ethical Considerations.</w:t>
      </w:r>
      <w:r w:rsidDel="00000000" w:rsidR="00000000" w:rsidRPr="00000000">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7A">
      <w:pPr>
        <w:keepNext w:val="1"/>
        <w:spacing w:after="0" w:before="240" w:line="480" w:lineRule="auto"/>
        <w:ind w:firstLine="0"/>
        <w:jc w:val="center"/>
        <w:rPr/>
      </w:pPr>
      <w:r>
        <w:rPr>
          <w:rFonts w:ascii="Georgia" w:hAnsi="Georgia" w:eastAsia="Georgia"/>
          <w:b/>
          <w:sz w:val="22"/>
        </w:rPr>
        <w:t>Table 2</w:t>
      </w:r>
    </w:p>
    <w:p w:rsidR="00000000" w:rsidDel="00000000" w:rsidP="00000000" w:rsidRDefault="00000000" w:rsidRPr="00000000" w14:paraId="0000007B">
      <w:pPr>
        <w:keepNext w:val="1"/>
        <w:spacing w:after="60" w:before="0" w:line="480" w:lineRule="auto"/>
        <w:jc w:val="center"/>
        <w:rPr/>
      </w:pPr>
      <w:r w:rsidDel="00000000" w:rsidR="00000000" w:rsidRPr="00000000">
        <w:rPr>
          <w:rtl w:val="0"/>
        </w:rPr>
        <w:t xml:space="preserve">PSAU Thesis Repository: Population and Sampling Summary</w:t>
      </w:r>
    </w:p>
    <w:tbl>
      <w:tblPr>
        <w:tblStyle w:val="Table1"/>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7C">
            <w:pPr>
              <w:spacing w:after="0" w:before="0" w:line="480" w:lineRule="auto"/>
              <w:rPr>
                <w:sz w:val="18"/>
                <w:szCs w:val="18"/>
              </w:rPr>
            </w:pPr>
            <w:r w:rsidDel="00000000" w:rsidR="00000000" w:rsidRPr="00000000">
              <w:rPr>
                <w:b w:val="1"/>
                <w:bCs w:val="1"/>
                <w:i w:val="0"/>
                <w:iCs w:val="0"/>
                <w:sz w:val="18"/>
                <w:szCs w:val="18"/>
                <w:rtl w:val="0"/>
              </w:rPr>
              <w:t xml:space="preserve">Category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D">
            <w:pPr>
              <w:spacing w:after="0" w:before="0" w:line="480" w:lineRule="auto"/>
              <w:rPr>
                <w:sz w:val="18"/>
                <w:szCs w:val="18"/>
              </w:rPr>
            </w:pPr>
            <w:r w:rsidDel="00000000" w:rsidR="00000000" w:rsidRPr="00000000">
              <w:rPr>
                <w:b w:val="1"/>
                <w:bCs w:val="1"/>
                <w:i w:val="0"/>
                <w:iCs w:val="0"/>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E">
            <w:pPr>
              <w:spacing w:after="0" w:before="0" w:line="480" w:lineRule="auto"/>
              <w:rPr>
                <w:sz w:val="18"/>
                <w:szCs w:val="18"/>
              </w:rPr>
            </w:pPr>
            <w:r w:rsidDel="00000000" w:rsidR="00000000" w:rsidRPr="00000000">
              <w:rPr>
                <w:b w:val="1"/>
                <w:bCs w:val="1"/>
                <w:i w:val="0"/>
                <w:iCs w:val="0"/>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F">
            <w:pPr>
              <w:spacing w:after="0" w:before="0" w:line="480" w:lineRule="auto"/>
              <w:rPr>
                <w:sz w:val="18"/>
                <w:szCs w:val="18"/>
              </w:rPr>
            </w:pPr>
            <w:r w:rsidDel="00000000" w:rsidR="00000000" w:rsidRPr="00000000">
              <w:rPr>
                <w:b w:val="1"/>
                <w:bCs w:val="1"/>
                <w:i w:val="0"/>
                <w:iCs w:val="0"/>
                <w:sz w:val="18"/>
                <w:szCs w:val="18"/>
                <w:rtl w:val="0"/>
              </w:rPr>
              <w:t xml:space="preserve">Animal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0">
            <w:pPr>
              <w:spacing w:after="0" w:before="0" w:line="480" w:lineRule="auto"/>
              <w:rPr>
                <w:sz w:val="18"/>
                <w:szCs w:val="18"/>
              </w:rPr>
            </w:pPr>
            <w:r w:rsidDel="00000000" w:rsidR="00000000" w:rsidRPr="00000000">
              <w:rPr>
                <w:b w:val="1"/>
                <w:bCs w:val="1"/>
                <w:i w:val="0"/>
                <w:iCs w:val="0"/>
                <w:sz w:val="18"/>
                <w:szCs w:val="18"/>
                <w:rtl w:val="0"/>
              </w:rPr>
              <w:t xml:space="preserve">Crop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1">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sidDel="00000000" w:rsidR="00000000" w:rsidRPr="00000000">
              <w:rPr>
                <w:i w:val="0"/>
                <w:iCs w:val="0"/>
                <w:sz w:val="18"/>
                <w:szCs w:val="18"/>
                <w:rtl w:val="0"/>
              </w:rPr>
              <w:t xml:space="preserve">Total repository</w:t>
            </w:r>
            <w:r w:rsidDel="00000000" w:rsidR="00000000" w:rsidRPr="00000000">
              <w:rPr>
                <w:rtl w:val="0"/>
              </w:rPr>
            </w:r>
          </w:p>
        </w:tc>
        <w:tc>
          <w:tcPr/>
          <w:p w:rsidR="00000000" w:rsidDel="00000000" w:rsidP="00000000" w:rsidRDefault="00000000" w:rsidRPr="00000000" w14:paraId="00000083">
            <w:pPr>
              <w:spacing w:after="0" w:before="0" w:line="480" w:lineRule="auto"/>
              <w:rPr>
                <w:sz w:val="18"/>
                <w:szCs w:val="18"/>
              </w:rPr>
            </w:pPr>
            <w:r w:rsidDel="00000000" w:rsidR="00000000" w:rsidRPr="00000000">
              <w:rPr>
                <w:i w:val="0"/>
                <w:iCs w:val="0"/>
                <w:sz w:val="18"/>
                <w:szCs w:val="18"/>
                <w:rtl w:val="0"/>
              </w:rPr>
              <w:t xml:space="preserve">275</w:t>
            </w:r>
            <w:r w:rsidDel="00000000" w:rsidR="00000000" w:rsidRPr="00000000">
              <w:rPr>
                <w:rtl w:val="0"/>
              </w:rPr>
            </w:r>
          </w:p>
        </w:tc>
        <w:tc>
          <w:tcPr/>
          <w:p w:rsidR="00000000" w:rsidDel="00000000" w:rsidP="00000000" w:rsidRDefault="00000000" w:rsidRPr="00000000" w14:paraId="00000084">
            <w:pPr>
              <w:spacing w:after="0" w:before="0" w:line="480" w:lineRule="auto"/>
              <w:rPr>
                <w:sz w:val="18"/>
                <w:szCs w:val="18"/>
              </w:rPr>
            </w:pPr>
            <w:r w:rsidDel="00000000" w:rsidR="00000000" w:rsidRPr="00000000">
              <w:rPr>
                <w:i w:val="0"/>
                <w:iCs w:val="0"/>
                <w:sz w:val="18"/>
                <w:szCs w:val="18"/>
                <w:rtl w:val="0"/>
              </w:rPr>
              <w:t xml:space="preserve">206</w:t>
            </w:r>
            <w:r w:rsidDel="00000000" w:rsidR="00000000" w:rsidRPr="00000000">
              <w:rPr>
                <w:rtl w:val="0"/>
              </w:rPr>
            </w:r>
          </w:p>
        </w:tc>
        <w:tc>
          <w:tcPr/>
          <w:p w:rsidR="00000000" w:rsidDel="00000000" w:rsidP="00000000" w:rsidRDefault="00000000" w:rsidRPr="00000000" w14:paraId="00000085">
            <w:pPr>
              <w:spacing w:after="0" w:before="0" w:line="480" w:lineRule="auto"/>
              <w:rPr>
                <w:sz w:val="18"/>
                <w:szCs w:val="18"/>
              </w:rPr>
            </w:pPr>
            <w:r w:rsidDel="00000000" w:rsidR="00000000" w:rsidRPr="00000000">
              <w:rPr>
                <w:i w:val="0"/>
                <w:iCs w:val="0"/>
                <w:sz w:val="18"/>
                <w:szCs w:val="18"/>
                <w:rtl w:val="0"/>
              </w:rPr>
              <w:t xml:space="preserve">131</w:t>
            </w:r>
            <w:r w:rsidDel="00000000" w:rsidR="00000000" w:rsidRPr="00000000">
              <w:rPr>
                <w:rtl w:val="0"/>
              </w:rPr>
            </w:r>
          </w:p>
        </w:tc>
        <w:tc>
          <w:tcPr/>
          <w:p w:rsidR="00000000" w:rsidDel="00000000" w:rsidP="00000000" w:rsidRDefault="00000000" w:rsidRPr="00000000" w14:paraId="00000086">
            <w:pPr>
              <w:spacing w:after="0" w:before="0" w:line="480" w:lineRule="auto"/>
              <w:rPr>
                <w:sz w:val="18"/>
                <w:szCs w:val="18"/>
              </w:rPr>
            </w:pPr>
            <w:r w:rsidDel="00000000" w:rsidR="00000000" w:rsidRPr="00000000">
              <w:rPr>
                <w:i w:val="0"/>
                <w:iCs w:val="0"/>
                <w:sz w:val="18"/>
                <w:szCs w:val="18"/>
                <w:rtl w:val="0"/>
              </w:rPr>
              <w:t xml:space="preserve">216</w:t>
            </w:r>
            <w:r w:rsidDel="00000000" w:rsidR="00000000" w:rsidRPr="00000000">
              <w:rPr>
                <w:rtl w:val="0"/>
              </w:rPr>
            </w:r>
          </w:p>
        </w:tc>
        <w:tc>
          <w:tcPr/>
          <w:p w:rsidR="00000000" w:rsidDel="00000000" w:rsidP="00000000" w:rsidRDefault="00000000" w:rsidRPr="00000000" w14:paraId="00000087">
            <w:pPr>
              <w:spacing w:after="0" w:before="0" w:line="480" w:lineRule="auto"/>
              <w:rPr>
                <w:sz w:val="18"/>
                <w:szCs w:val="18"/>
              </w:rPr>
            </w:pPr>
            <w:r w:rsidDel="00000000" w:rsidR="00000000" w:rsidRPr="00000000">
              <w:rPr>
                <w:i w:val="0"/>
                <w:iCs w:val="0"/>
                <w:sz w:val="18"/>
                <w:szCs w:val="18"/>
                <w:rtl w:val="0"/>
              </w:rPr>
              <w:t xml:space="preserve">828</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sidDel="00000000" w:rsidR="00000000" w:rsidRPr="00000000">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sidDel="00000000" w:rsidR="00000000" w:rsidRPr="00000000">
              <w:rPr>
                <w:i w:val="0"/>
                <w:iCs w:val="0"/>
                <w:sz w:val="18"/>
                <w:szCs w:val="18"/>
                <w:rtl w:val="0"/>
              </w:rPr>
              <w:t xml:space="preserve">145</w:t>
            </w:r>
            <w:r w:rsidDel="00000000" w:rsidR="00000000" w:rsidRPr="00000000">
              <w:rPr>
                <w:rtl w:val="0"/>
              </w:rPr>
            </w:r>
          </w:p>
        </w:tc>
        <w:tc>
          <w:tcPr/>
          <w:p w:rsidR="00000000" w:rsidDel="00000000" w:rsidP="00000000" w:rsidRDefault="00000000" w:rsidRPr="00000000" w14:paraId="0000008A">
            <w:pPr>
              <w:spacing w:after="0" w:before="0" w:line="480" w:lineRule="auto"/>
              <w:rPr>
                <w:sz w:val="18"/>
                <w:szCs w:val="18"/>
              </w:rPr>
            </w:pPr>
            <w:r w:rsidDel="00000000" w:rsidR="00000000" w:rsidRPr="00000000">
              <w:rPr>
                <w:i w:val="0"/>
                <w:iCs w:val="0"/>
                <w:sz w:val="18"/>
                <w:szCs w:val="18"/>
                <w:rtl w:val="0"/>
              </w:rPr>
              <w:t xml:space="preserve">104</w:t>
            </w:r>
            <w:r w:rsidDel="00000000" w:rsidR="00000000" w:rsidRPr="00000000">
              <w:rPr>
                <w:rtl w:val="0"/>
              </w:rPr>
            </w:r>
          </w:p>
        </w:tc>
        <w:tc>
          <w:tcPr/>
          <w:p w:rsidR="00000000" w:rsidDel="00000000" w:rsidP="00000000" w:rsidRDefault="00000000" w:rsidRPr="00000000" w14:paraId="0000008B">
            <w:pPr>
              <w:spacing w:after="0" w:before="0" w:line="480" w:lineRule="auto"/>
              <w:rPr>
                <w:sz w:val="18"/>
                <w:szCs w:val="18"/>
              </w:rPr>
            </w:pPr>
            <w:r w:rsidDel="00000000" w:rsidR="00000000" w:rsidRPr="00000000">
              <w:rPr>
                <w:i w:val="0"/>
                <w:iCs w:val="0"/>
                <w:sz w:val="18"/>
                <w:szCs w:val="18"/>
                <w:rtl w:val="0"/>
              </w:rPr>
              <w:t xml:space="preserve">38</w:t>
            </w:r>
            <w:r w:rsidDel="00000000" w:rsidR="00000000" w:rsidRPr="00000000">
              <w:rPr>
                <w:rtl w:val="0"/>
              </w:rPr>
            </w:r>
          </w:p>
        </w:tc>
        <w:tc>
          <w:tcPr/>
          <w:p w:rsidR="00000000" w:rsidDel="00000000" w:rsidP="00000000" w:rsidRDefault="00000000" w:rsidRPr="00000000" w14:paraId="0000008C">
            <w:pPr>
              <w:spacing w:after="0" w:before="0" w:line="480" w:lineRule="auto"/>
              <w:rPr>
                <w:sz w:val="18"/>
                <w:szCs w:val="18"/>
              </w:rPr>
            </w:pPr>
            <w:r w:rsidDel="00000000" w:rsidR="00000000" w:rsidRPr="00000000">
              <w:rPr>
                <w:i w:val="0"/>
                <w:iCs w:val="0"/>
                <w:sz w:val="18"/>
                <w:szCs w:val="18"/>
                <w:rtl w:val="0"/>
              </w:rPr>
              <w:t xml:space="preserve">94</w:t>
            </w:r>
            <w:r w:rsidDel="00000000" w:rsidR="00000000" w:rsidRPr="00000000">
              <w:rPr>
                <w:rtl w:val="0"/>
              </w:rPr>
            </w:r>
          </w:p>
        </w:tc>
        <w:tc>
          <w:tcPr/>
          <w:p w:rsidR="00000000" w:rsidDel="00000000" w:rsidP="00000000" w:rsidRDefault="00000000" w:rsidRPr="00000000" w14:paraId="0000008D">
            <w:pPr>
              <w:spacing w:after="0" w:before="0" w:line="480" w:lineRule="auto"/>
              <w:rPr>
                <w:sz w:val="18"/>
                <w:szCs w:val="18"/>
              </w:rPr>
            </w:pPr>
            <w:r w:rsidDel="00000000" w:rsidR="00000000" w:rsidRPr="00000000">
              <w:rPr>
                <w:i w:val="0"/>
                <w:iCs w:val="0"/>
                <w:sz w:val="18"/>
                <w:szCs w:val="18"/>
                <w:rtl w:val="0"/>
              </w:rPr>
              <w:t xml:space="preserve">381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sidDel="00000000" w:rsidR="00000000" w:rsidRPr="00000000">
              <w:rPr>
                <w:i w:val="0"/>
                <w:iCs w:val="0"/>
                <w:sz w:val="18"/>
                <w:szCs w:val="18"/>
                <w:rtl w:val="0"/>
              </w:rPr>
              <w:t xml:space="preserve">Pre-2023 (excluded pool)</w:t>
            </w:r>
            <w:r w:rsidDel="00000000" w:rsidR="00000000" w:rsidRPr="00000000">
              <w:rPr>
                <w:rtl w:val="0"/>
              </w:rPr>
            </w:r>
          </w:p>
        </w:tc>
        <w:tc>
          <w:tcPr/>
          <w:p w:rsidR="00000000" w:rsidDel="00000000" w:rsidP="00000000" w:rsidRDefault="00000000" w:rsidRPr="00000000" w14:paraId="0000008F">
            <w:pPr>
              <w:spacing w:after="0" w:before="0" w:line="480" w:lineRule="auto"/>
              <w:rPr>
                <w:sz w:val="18"/>
                <w:szCs w:val="18"/>
              </w:rPr>
            </w:pPr>
            <w:r w:rsidDel="00000000" w:rsidR="00000000" w:rsidRPr="00000000">
              <w:rPr>
                <w:i w:val="0"/>
                <w:iCs w:val="0"/>
                <w:sz w:val="18"/>
                <w:szCs w:val="18"/>
                <w:rtl w:val="0"/>
              </w:rPr>
              <w:t xml:space="preserve">130</w:t>
            </w:r>
            <w:r w:rsidDel="00000000" w:rsidR="00000000" w:rsidRPr="00000000">
              <w:rPr>
                <w:rtl w:val="0"/>
              </w:rPr>
            </w:r>
          </w:p>
        </w:tc>
        <w:tc>
          <w:tcPr/>
          <w:p w:rsidR="00000000" w:rsidDel="00000000" w:rsidP="00000000" w:rsidRDefault="00000000" w:rsidRPr="00000000" w14:paraId="00000090">
            <w:pPr>
              <w:spacing w:after="0" w:before="0" w:line="480" w:lineRule="auto"/>
              <w:rPr>
                <w:sz w:val="18"/>
                <w:szCs w:val="18"/>
              </w:rPr>
            </w:pPr>
            <w:r w:rsidDel="00000000" w:rsidR="00000000" w:rsidRPr="00000000">
              <w:rPr>
                <w:i w:val="0"/>
                <w:iCs w:val="0"/>
                <w:sz w:val="18"/>
                <w:szCs w:val="18"/>
                <w:rtl w:val="0"/>
              </w:rPr>
              <w:t xml:space="preserve">102</w:t>
            </w:r>
            <w:r w:rsidDel="00000000" w:rsidR="00000000" w:rsidRPr="00000000">
              <w:rPr>
                <w:rtl w:val="0"/>
              </w:rPr>
            </w:r>
          </w:p>
        </w:tc>
        <w:tc>
          <w:tcPr/>
          <w:p w:rsidR="00000000" w:rsidDel="00000000" w:rsidP="00000000" w:rsidRDefault="00000000" w:rsidRPr="00000000" w14:paraId="00000091">
            <w:pPr>
              <w:spacing w:after="0" w:before="0" w:line="480" w:lineRule="auto"/>
              <w:rPr>
                <w:sz w:val="18"/>
                <w:szCs w:val="18"/>
              </w:rPr>
            </w:pPr>
            <w:r w:rsidDel="00000000" w:rsidR="00000000" w:rsidRPr="00000000">
              <w:rPr>
                <w:i w:val="0"/>
                <w:iCs w:val="0"/>
                <w:sz w:val="18"/>
                <w:szCs w:val="18"/>
                <w:rtl w:val="0"/>
              </w:rPr>
              <w:t xml:space="preserve">93</w:t>
            </w:r>
            <w:r w:rsidDel="00000000" w:rsidR="00000000" w:rsidRPr="00000000">
              <w:rPr>
                <w:rtl w:val="0"/>
              </w:rPr>
            </w:r>
          </w:p>
        </w:tc>
        <w:tc>
          <w:tcPr/>
          <w:p w:rsidR="00000000" w:rsidDel="00000000" w:rsidP="00000000" w:rsidRDefault="00000000" w:rsidRPr="00000000" w14:paraId="00000092">
            <w:pPr>
              <w:spacing w:after="0" w:before="0" w:line="480" w:lineRule="auto"/>
              <w:rPr>
                <w:sz w:val="18"/>
                <w:szCs w:val="18"/>
              </w:rPr>
            </w:pPr>
            <w:r w:rsidDel="00000000" w:rsidR="00000000" w:rsidRPr="00000000">
              <w:rPr>
                <w:i w:val="0"/>
                <w:iCs w:val="0"/>
                <w:sz w:val="18"/>
                <w:szCs w:val="18"/>
                <w:rtl w:val="0"/>
              </w:rPr>
              <w:t xml:space="preserve">122</w:t>
            </w:r>
            <w:r w:rsidDel="00000000" w:rsidR="00000000" w:rsidRPr="00000000">
              <w:rPr>
                <w:rtl w:val="0"/>
              </w:rPr>
            </w:r>
          </w:p>
        </w:tc>
        <w:tc>
          <w:tcPr/>
          <w:p w:rsidR="00000000" w:rsidDel="00000000" w:rsidP="00000000" w:rsidRDefault="00000000" w:rsidRPr="00000000" w14:paraId="00000093">
            <w:pPr>
              <w:spacing w:after="0" w:before="0" w:line="480" w:lineRule="auto"/>
              <w:rPr>
                <w:sz w:val="18"/>
                <w:szCs w:val="18"/>
              </w:rPr>
            </w:pPr>
            <w:r w:rsidDel="00000000" w:rsidR="00000000" w:rsidRPr="00000000">
              <w:rPr>
                <w:i w:val="0"/>
                <w:iCs w:val="0"/>
                <w:sz w:val="18"/>
                <w:szCs w:val="18"/>
                <w:rtl w:val="0"/>
              </w:rPr>
              <w:t xml:space="preserve">447</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sidDel="00000000" w:rsidR="00000000" w:rsidRPr="00000000">
              <w:rPr>
                <w:i w:val="0"/>
                <w:iCs w:val="0"/>
                <w:sz w:val="18"/>
                <w:szCs w:val="18"/>
                <w:rtl w:val="0"/>
              </w:rPr>
              <w:t xml:space="preserve">Pilot sample (pre-2023)</w:t>
            </w:r>
            <w:r w:rsidDel="00000000" w:rsidR="00000000" w:rsidRPr="00000000">
              <w:rPr>
                <w:rtl w:val="0"/>
              </w:rPr>
            </w:r>
          </w:p>
        </w:tc>
        <w:tc>
          <w:tcPr/>
          <w:p w:rsidR="00000000" w:rsidDel="00000000" w:rsidP="00000000" w:rsidRDefault="00000000" w:rsidRPr="00000000" w14:paraId="00000095">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6">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7">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8">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9">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9A">
            <w:pPr>
              <w:spacing w:after="0" w:before="0" w:line="480" w:lineRule="auto"/>
              <w:rPr>
                <w:sz w:val="18"/>
                <w:szCs w:val="18"/>
              </w:rPr>
            </w:pPr>
            <w:r w:rsidDel="00000000" w:rsidR="00000000" w:rsidRPr="00000000">
              <w:rPr>
                <w:i w:val="0"/>
                <w:iCs w:val="0"/>
                <w:sz w:val="18"/>
                <w:szCs w:val="18"/>
                <w:rtl w:val="0"/>
              </w:rPr>
              <w:t xml:space="preserve">Main sample</w:t>
            </w:r>
            <w:r w:rsidDel="00000000" w:rsidR="00000000" w:rsidRPr="00000000">
              <w:rPr>
                <w:rtl w:val="0"/>
              </w:rPr>
            </w:r>
          </w:p>
        </w:tc>
        <w:tc>
          <w:tcPr>
            <w:tcBorders>
              <w:bottom w:color="000000" w:space="0" w:sz="18" w:val="single"/>
            </w:tcBorders>
          </w:tcPr>
          <w:p w:rsidR="00000000" w:rsidDel="00000000" w:rsidP="00000000" w:rsidRDefault="00000000" w:rsidRPr="00000000" w14:paraId="0000009B">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D">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F">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r>
    </w:tbl>
    <w:p w:rsidR="00000000" w:rsidDel="00000000" w:rsidP="00000000" w:rsidRDefault="00000000" w:rsidRPr="00000000" w14:paraId="000000A0">
      <w:pPr>
        <w:spacing w:after="0" w:before="240" w:line="480" w:lineRule="auto"/>
        <w:ind w:firstLine="720"/>
        <w:jc w:val="both"/>
        <w:rPr/>
      </w:pPr>
      <w:r>
        <w:rPr>
          <w:rFonts w:ascii="Georgia" w:hAnsi="Georgia" w:eastAsia="Georgia"/>
          <w:b w:val="0"/>
          <w:sz w:val="22"/>
        </w:rPr>
        <w:t>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7">
      <w:pPr>
        <w:keepNext w:val="1"/>
        <w:spacing w:after="120" w:before="240" w:line="480" w:lineRule="auto"/>
        <w:ind w:firstLine="0"/>
        <w:rPr/>
      </w:pPr>
      <w:r w:rsidDel="00000000" w:rsidR="00000000" w:rsidRPr="00000000">
        <w:rPr>
          <w:b w:val="1"/>
          <w:bCs w:val="1"/>
          <w:rtl w:val="0"/>
        </w:rPr>
        <w:t xml:space="preserve">Part I: The Formal Repertoire of Student Hedging</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Pr>
          <w:rFonts w:ascii="Georgia" w:hAnsi="Georgia" w:eastAsia="Georgia" w:cs="Georgia"/>
          <w:b w:val="0"/>
          <w:sz w:val="22"/>
        </w:rPr>
        <w:t>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w:t>
      </w:r>
    </w:p>
    <w:p w:rsidR="00000000" w:rsidDel="00000000" w:rsidP="00000000" w:rsidRDefault="00000000" w:rsidRPr="00000000" w14:paraId="000000A9">
      <w:pPr>
        <w:keepNext w:val="1"/>
        <w:pageBreakBefore w:val="1"/>
        <w:spacing w:after="0" w:before="720" w:line="480" w:lineRule="auto"/>
        <w:ind w:firstLine="0"/>
        <w:jc w:val="center"/>
        <w:rPr/>
      </w:pPr>
      <w:r>
        <w:rPr>
          <w:rFonts w:ascii="Georgia" w:hAnsi="Georgia" w:eastAsia="Georgia" w:cs="Georgia"/>
          <w:b w:val="0"/>
          <w:sz w:val="22"/>
        </w:rPr>
        <w:t>Table 3</w:t>
      </w:r>
    </w:p>
    <w:p w:rsidR="00000000" w:rsidDel="00000000" w:rsidP="00000000" w:rsidRDefault="00000000" w:rsidRPr="00000000" w14:paraId="000000AA">
      <w:pPr>
        <w:keepNext w:val="1"/>
        <w:spacing w:after="60" w:before="0" w:line="480" w:lineRule="auto"/>
        <w:jc w:val="center"/>
        <w:rPr/>
      </w:pPr>
      <w:r w:rsidDel="00000000" w:rsidR="00000000" w:rsidRPr="00000000">
        <w:rPr>
          <w:rFonts w:ascii="Times New Roman" w:hAnsi="Times New Roman" w:cs="Times New Roman"/>
          <w:b w:val="0"/>
          <w:sz w:val="22"/>
          <w:rtl w:val="0"/>
        </w:rPr>
        <w:t>Hedge Token Inventory by Form and Type</w:t>
      </w:r>
    </w:p>
    <w:p w:rsidR="00000000" w:rsidDel="00000000" w:rsidP="00000000" w:rsidRDefault="00000000" w:rsidRPr="00000000" w14:paraId="000000BD">
      <w:pPr>
        <w:spacing w:after="0" w:before="240" w:line="480" w:lineRule="auto"/>
        <w:ind w:firstLine="720"/>
        <w:jc w:val="both"/>
        <w:rPr/>
      </w:pPr>
      <w:r>
        <w:rPr>
          <w:rFonts w:ascii="Georgia" w:hAnsi="Georgia" w:eastAsia="Georgia" w:cs="Georgia"/>
          <w:b w:val="0"/>
          <w:sz w:val="22"/>
        </w:rPr>
        <w:t>Lexical hedges dominate the corpus (42 instances), followed by modal verbs (20) and adverbial hedges (3). No clause-level hedges appear in any of the 60 abstracts. The literature often reports modal verbs as the most frequent hedge type in developing researchers' writing (Khunasathitchai et al., 2025; Wang, 2022); this corpus differs. Table 3 lists every retained hedge form with its grammatical type and count (sum = 65). Surface forms of the same root are listed separately so each tally line can be checked against the coding sheet.</w:t>
      </w:r>
    </w:p>
    <w:p w:rsidR="00000000" w:rsidDel="00000000" w:rsidP="00000000" w:rsidRDefault="00000000" w:rsidRPr="00000000" w14:paraId="000000BE">
      <w:pPr>
        <w:spacing w:after="0" w:before="0" w:line="480" w:lineRule="auto"/>
        <w:ind w:firstLine="720"/>
        <w:jc w:val="both"/>
        <w:rPr/>
      </w:pPr>
      <w:r w:rsidDel="00000000" w:rsidR="00000000" w:rsidRPr="00000000">
        <w:rPr>
          <w:strike w:val="0"/>
          <w:rtl w:val="0"/>
        </w:rPr>
        <w:t>Within the lexical hedge category, the token “potential” accounted for 19 of the 42 lexical instances, the single most frequent hedge token in the corpus. Other frequent lexical forms, grouped by root, included “suggest / suggests / suggesting” (13), “imply / implies / implying” (3), and “indicating / indicates” (3). Modal verbs were led by “could” (6), “may” (6), “can” (5), and “might” (3). The 19 potential instances show recurring frames such as “the potential of X as a Y,” “has potential as an X,” and “highlight their potential as X.” Whether those uses express epistemic caution or topic-naming evaluation remains a boundary judgment under the Working Test and is open to alternative readings. Without these 19 tokens, lexical hedges number 23 against 20 modal verbs, so the lexical lead rests on how “potential” is read. Agriculture and Biology account for 15 of the 19 instances. Veterinary Medicine accounts for 4. In scientific English, however, content-oriented lexical hedges often carry more of the epistemic load than modals alone (Hyland, 1998). The dominance of potential fits that pattern in applied-life-science abstracts. Writers reach for a ready English formula that softens application claims (“has potential as…”, “highlight their potential as…”) without building longer clause-level stance. Related work on scientific research writing supports a lexical emphasis. Hyland (1996a) shows that hedging in molecular biology articles is realized mainly by surface lexical forms, with epistemic lexical verbs the largest and most varied group and items such as suggest and indicate among the most frequent. Biologists in that corpus also used fewer modal verbs than writers in general academic English. The present lexical-led profile, driven by potential and suggest in application and implication frames, therefore aligns more with the scientific pattern than with the modal-heavy student pattern.</w:t>
      </w:r>
    </w:p>
    <w:tbl>
      <w:tblPr>
        <w:tblStyle w:val="Table3"/>
        <w:tblW w:w="8303.0" w:type="dxa"/>
        <w:jc w:val="left"/>
        <w:tblInd w:w="-10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color="000000" w:space="0" w:sz="18" w:val="single"/>
              <w:bottom w:color="000000" w:space="0" w:sz="6" w:val="single"/>
            </w:tcBorders>
          </w:tcPr>
          <w:p w:rsidR="00000000" w:rsidDel="00000000" w:rsidP="00000000" w:rsidRDefault="00000000" w:rsidRPr="00000000" w14:paraId="000000C1">
            <w:pPr>
              <w:spacing w:after="0" w:before="0" w:line="480" w:lineRule="auto"/>
              <w:jc w:val="center"/>
              <w:rPr>
                <w:sz w:val="18"/>
                <w:szCs w:val="18"/>
              </w:rPr>
            </w:pPr>
            <w:r w:rsidDel="00000000" w:rsidR="00000000" w:rsidRPr="00000000">
              <w:rPr>
                <w:b w:val="1"/>
                <w:bCs w:val="1"/>
                <w:sz w:val="18"/>
                <w:szCs w:val="18"/>
                <w:rtl w:val="0"/>
              </w:rPr>
              <w:t xml:space="preserve">Hedge form</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2">
            <w:pPr>
              <w:spacing w:after="0" w:before="0" w:line="480" w:lineRule="auto"/>
              <w:jc w:val="center"/>
              <w:rPr>
                <w:sz w:val="18"/>
                <w:szCs w:val="18"/>
              </w:rPr>
            </w:pPr>
            <w:r w:rsidDel="00000000" w:rsidR="00000000" w:rsidRPr="00000000">
              <w:rPr>
                <w:b w:val="1"/>
                <w:bCs w:val="1"/>
                <w:sz w:val="18"/>
                <w:szCs w:val="18"/>
                <w:rtl w:val="0"/>
              </w:rPr>
              <w:t xml:space="preserve">Grammatical type</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3">
            <w:pPr>
              <w:spacing w:after="0" w:before="0" w:line="480" w:lineRule="auto"/>
              <w:jc w:val="center"/>
              <w:rPr>
                <w:sz w:val="18"/>
                <w:szCs w:val="18"/>
              </w:rPr>
            </w:pPr>
            <w:r w:rsidDel="00000000" w:rsidR="00000000" w:rsidRPr="00000000">
              <w:rPr>
                <w:b w:val="1"/>
                <w:bCs w:val="1"/>
                <w:sz w:val="18"/>
                <w:szCs w:val="18"/>
                <w:rtl w:val="0"/>
              </w:rPr>
              <w:t xml:space="preserve">Count</w:t>
            </w:r>
            <w:r w:rsidDel="00000000" w:rsidR="00000000" w:rsidRPr="00000000">
              <w:rPr>
                <w:rtl w:val="0"/>
              </w:rPr>
            </w:r>
          </w:p>
        </w:tc>
      </w:tr>
      <w:tr>
        <w:trPr>
          <w:cantSplit w:val="1"/>
          <w:tblHeader w:val="0"/>
        </w:trPr>
        <w:tc>
          <w:tcPr/>
          <w:p w:rsidR="00000000" w:rsidDel="00000000" w:rsidP="00000000" w:rsidRDefault="00000000" w:rsidRPr="00000000" w14:paraId="000000C5">
            <w:pPr>
              <w:spacing w:after="0" w:before="0" w:line="480" w:lineRule="auto"/>
              <w:jc w:val="left"/>
              <w:rPr>
                <w:sz w:val="18"/>
                <w:szCs w:val="18"/>
              </w:rPr>
            </w:pPr>
            <w:r w:rsidDel="00000000" w:rsidR="00000000" w:rsidRPr="00000000">
              <w:rPr>
                <w:sz w:val="18"/>
                <w:szCs w:val="18"/>
                <w:rtl w:val="0"/>
              </w:rPr>
              <w:t xml:space="preserve">potential</w:t>
            </w:r>
          </w:p>
        </w:tc>
        <w:tc>
          <w:tcPr/>
          <w:p w:rsidR="00000000" w:rsidDel="00000000" w:rsidP="00000000" w:rsidRDefault="00000000" w:rsidRPr="00000000" w14:paraId="000000C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7">
            <w:pPr>
              <w:spacing w:after="0" w:before="0" w:line="480" w:lineRule="auto"/>
              <w:jc w:val="center"/>
              <w:rPr>
                <w:sz w:val="18"/>
                <w:szCs w:val="18"/>
              </w:rPr>
            </w:pPr>
            <w:r w:rsidDel="00000000" w:rsidR="00000000" w:rsidRPr="00000000">
              <w:rPr>
                <w:sz w:val="18"/>
                <w:szCs w:val="18"/>
                <w:rtl w:val="0"/>
              </w:rPr>
              <w:t xml:space="preserve">19</w:t>
            </w:r>
          </w:p>
        </w:tc>
      </w:tr>
      <w:tr>
        <w:trPr>
          <w:cantSplit w:val="1"/>
          <w:tblHeader w:val="0"/>
        </w:trPr>
        <w:tc>
          <w:tcPr/>
          <w:p w:rsidR="00000000" w:rsidDel="00000000" w:rsidP="00000000" w:rsidRDefault="00000000" w:rsidRPr="00000000" w14:paraId="000000C9">
            <w:pPr>
              <w:spacing w:after="0" w:before="0" w:line="480" w:lineRule="auto"/>
              <w:jc w:val="left"/>
              <w:rPr>
                <w:sz w:val="18"/>
                <w:szCs w:val="18"/>
              </w:rPr>
            </w:pPr>
            <w:r w:rsidDel="00000000" w:rsidR="00000000" w:rsidRPr="00000000">
              <w:rPr>
                <w:sz w:val="18"/>
                <w:szCs w:val="18"/>
                <w:rtl w:val="0"/>
              </w:rPr>
              <w:t xml:space="preserve">suggests</w:t>
            </w:r>
          </w:p>
        </w:tc>
        <w:tc>
          <w:tcPr/>
          <w:p w:rsidR="00000000" w:rsidDel="00000000" w:rsidP="00000000" w:rsidRDefault="00000000" w:rsidRPr="00000000" w14:paraId="000000C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B">
            <w:pPr>
              <w:spacing w:after="0" w:before="0" w:line="480" w:lineRule="auto"/>
              <w:jc w:val="center"/>
              <w:rPr>
                <w:sz w:val="18"/>
                <w:szCs w:val="18"/>
              </w:rPr>
            </w:pPr>
            <w:r w:rsidDel="00000000" w:rsidR="00000000" w:rsidRPr="00000000">
              <w:rPr>
                <w:sz w:val="18"/>
                <w:szCs w:val="18"/>
                <w:rtl w:val="0"/>
              </w:rPr>
              <w:t xml:space="preserve">7</w:t>
            </w:r>
          </w:p>
        </w:tc>
      </w:tr>
      <w:tr>
        <w:trPr>
          <w:cantSplit w:val="1"/>
          <w:tblHeader w:val="0"/>
        </w:trPr>
        <w:tc>
          <w:tcPr/>
          <w:p w:rsidR="00000000" w:rsidDel="00000000" w:rsidP="00000000" w:rsidRDefault="00000000" w:rsidRPr="00000000" w14:paraId="000000CD">
            <w:pPr>
              <w:spacing w:after="0" w:before="0" w:line="480" w:lineRule="auto"/>
              <w:jc w:val="left"/>
              <w:rPr>
                <w:sz w:val="18"/>
                <w:szCs w:val="18"/>
              </w:rPr>
            </w:pPr>
            <w:r w:rsidDel="00000000" w:rsidR="00000000" w:rsidRPr="00000000">
              <w:rPr>
                <w:sz w:val="18"/>
                <w:szCs w:val="18"/>
                <w:rtl w:val="0"/>
              </w:rPr>
              <w:t xml:space="preserve">suggest</w:t>
            </w:r>
          </w:p>
        </w:tc>
        <w:tc>
          <w:tcPr/>
          <w:p w:rsidR="00000000" w:rsidDel="00000000" w:rsidP="00000000" w:rsidRDefault="00000000" w:rsidRPr="00000000" w14:paraId="000000CE">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F">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1">
            <w:pPr>
              <w:spacing w:after="0" w:before="0" w:line="480" w:lineRule="auto"/>
              <w:jc w:val="left"/>
              <w:rPr>
                <w:sz w:val="18"/>
                <w:szCs w:val="18"/>
              </w:rPr>
            </w:pPr>
            <w:r w:rsidDel="00000000" w:rsidR="00000000" w:rsidRPr="00000000">
              <w:rPr>
                <w:sz w:val="18"/>
                <w:szCs w:val="18"/>
                <w:rtl w:val="0"/>
              </w:rPr>
              <w:t xml:space="preserve">suggesting</w:t>
            </w:r>
          </w:p>
        </w:tc>
        <w:tc>
          <w:tcPr/>
          <w:p w:rsidR="00000000" w:rsidDel="00000000" w:rsidP="00000000" w:rsidRDefault="00000000" w:rsidRPr="00000000" w14:paraId="000000D2">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3">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5">
            <w:pPr>
              <w:spacing w:after="0" w:before="0" w:line="480" w:lineRule="auto"/>
              <w:jc w:val="left"/>
              <w:rPr>
                <w:sz w:val="18"/>
                <w:szCs w:val="18"/>
              </w:rPr>
            </w:pPr>
            <w:r w:rsidDel="00000000" w:rsidR="00000000" w:rsidRPr="00000000">
              <w:rPr>
                <w:sz w:val="18"/>
                <w:szCs w:val="18"/>
                <w:rtl w:val="0"/>
              </w:rPr>
              <w:t xml:space="preserve">implies</w:t>
            </w:r>
          </w:p>
        </w:tc>
        <w:tc>
          <w:tcPr/>
          <w:p w:rsidR="00000000" w:rsidDel="00000000" w:rsidP="00000000" w:rsidRDefault="00000000" w:rsidRPr="00000000" w14:paraId="000000D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7">
            <w:pPr>
              <w:spacing w:after="0" w:before="0" w:line="480" w:lineRule="auto"/>
              <w:jc w:val="center"/>
              <w:rPr>
                <w:sz w:val="18"/>
                <w:szCs w:val="18"/>
              </w:rPr>
            </w:pPr>
            <w:r w:rsidDel="00000000" w:rsidR="00000000" w:rsidRPr="00000000">
              <w:rPr>
                <w:sz w:val="18"/>
                <w:szCs w:val="18"/>
                <w:rtl w:val="0"/>
              </w:rPr>
              <w:t xml:space="preserve">2</w:t>
            </w:r>
          </w:p>
        </w:tc>
      </w:tr>
      <w:tr>
        <w:trPr>
          <w:cantSplit w:val="1"/>
          <w:tblHeader w:val="0"/>
        </w:trPr>
        <w:tc>
          <w:tcPr/>
          <w:p w:rsidR="00000000" w:rsidDel="00000000" w:rsidP="00000000" w:rsidRDefault="00000000" w:rsidRPr="00000000" w14:paraId="000000D9">
            <w:pPr>
              <w:spacing w:after="0" w:before="0" w:line="480" w:lineRule="auto"/>
              <w:jc w:val="left"/>
              <w:rPr>
                <w:sz w:val="18"/>
                <w:szCs w:val="18"/>
              </w:rPr>
            </w:pPr>
            <w:r w:rsidDel="00000000" w:rsidR="00000000" w:rsidRPr="00000000">
              <w:rPr>
                <w:sz w:val="18"/>
                <w:szCs w:val="18"/>
                <w:rtl w:val="0"/>
              </w:rPr>
              <w:t xml:space="preserve">indicating / indicates</w:t>
            </w:r>
          </w:p>
        </w:tc>
        <w:tc>
          <w:tcPr/>
          <w:p w:rsidR="00000000" w:rsidDel="00000000" w:rsidP="00000000" w:rsidRDefault="00000000" w:rsidRPr="00000000" w14:paraId="000000D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B">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D">
            <w:pPr>
              <w:spacing w:after="0" w:before="0" w:line="480" w:lineRule="auto"/>
              <w:jc w:val="left"/>
              <w:rPr>
                <w:sz w:val="18"/>
                <w:szCs w:val="18"/>
              </w:rPr>
            </w:pPr>
            <w:r w:rsidDel="00000000" w:rsidR="00000000" w:rsidRPr="00000000">
              <w:rPr>
                <w:sz w:val="18"/>
                <w:szCs w:val="18"/>
                <w:rtl w:val="0"/>
              </w:rPr>
              <w:t xml:space="preserve">likely</w:t>
            </w:r>
          </w:p>
        </w:tc>
        <w:tc>
          <w:tcPr/>
          <w:p w:rsidR="00000000" w:rsidDel="00000000" w:rsidP="00000000" w:rsidRDefault="00000000" w:rsidRPr="00000000" w14:paraId="000000DE">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F">
            <w:pPr>
              <w:spacing w:after="0" w:before="0" w:line="480" w:lineRule="auto"/>
              <w:jc w:val="center"/>
              <w:rPr>
                <w:sz w:val="18"/>
                <w:szCs w:val="18"/>
              </w:rPr>
            </w:pPr>
            <w:r w:rsidDel="00000000" w:rsidR="00000000" w:rsidRPr="00000000">
              <w:rPr>
                <w:sz w:val="18"/>
                <w:szCs w:val="18"/>
                <w:rtl w:val="0"/>
              </w:rPr>
              <w:t xml:space="preserve">2</w:t>
            </w:r>
          </w:p>
        </w:tc>
      </w:tr>
      <w:tr>
        <w:trPr>
          <w:cantSplit w:val="1"/>
          <w:tblHeader w:val="0"/>
        </w:trPr>
        <w:tc>
          <w:tcPr/>
          <w:p w:rsidR="00000000" w:rsidDel="00000000" w:rsidP="00000000" w:rsidRDefault="00000000" w:rsidRPr="00000000" w14:paraId="000000E1">
            <w:pPr>
              <w:spacing w:after="0" w:before="0" w:line="480" w:lineRule="auto"/>
              <w:jc w:val="left"/>
              <w:rPr>
                <w:sz w:val="18"/>
                <w:szCs w:val="18"/>
              </w:rPr>
            </w:pPr>
            <w:r w:rsidDel="00000000" w:rsidR="00000000" w:rsidRPr="00000000">
              <w:rPr>
                <w:sz w:val="18"/>
                <w:szCs w:val="18"/>
                <w:rtl w:val="0"/>
              </w:rPr>
              <w:t xml:space="preserve">implying</w:t>
            </w:r>
          </w:p>
        </w:tc>
        <w:tc>
          <w:tcPr/>
          <w:p w:rsidR="00000000" w:rsidDel="00000000" w:rsidP="00000000" w:rsidRDefault="00000000" w:rsidRPr="00000000" w14:paraId="000000E2">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3">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5">
            <w:pPr>
              <w:spacing w:after="0" w:before="0" w:line="480" w:lineRule="auto"/>
              <w:jc w:val="left"/>
              <w:rPr>
                <w:sz w:val="18"/>
                <w:szCs w:val="18"/>
              </w:rPr>
            </w:pPr>
            <w:r w:rsidDel="00000000" w:rsidR="00000000" w:rsidRPr="00000000">
              <w:rPr>
                <w:sz w:val="18"/>
                <w:szCs w:val="18"/>
                <w:rtl w:val="0"/>
              </w:rPr>
              <w:t xml:space="preserve">inferring</w:t>
            </w:r>
          </w:p>
        </w:tc>
        <w:tc>
          <w:tcPr/>
          <w:p w:rsidR="00000000" w:rsidDel="00000000" w:rsidP="00000000" w:rsidRDefault="00000000" w:rsidRPr="00000000" w14:paraId="000000E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7">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9">
            <w:pPr>
              <w:spacing w:after="0" w:before="0" w:line="480" w:lineRule="auto"/>
              <w:jc w:val="left"/>
              <w:rPr>
                <w:sz w:val="18"/>
                <w:szCs w:val="18"/>
              </w:rPr>
            </w:pPr>
            <w:r w:rsidDel="00000000" w:rsidR="00000000" w:rsidRPr="00000000">
              <w:rPr>
                <w:sz w:val="18"/>
                <w:szCs w:val="18"/>
                <w:rtl w:val="0"/>
              </w:rPr>
              <w:t xml:space="preserve">possible</w:t>
            </w:r>
          </w:p>
        </w:tc>
        <w:tc>
          <w:tcPr/>
          <w:p w:rsidR="00000000" w:rsidDel="00000000" w:rsidP="00000000" w:rsidRDefault="00000000" w:rsidRPr="00000000" w14:paraId="000000E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B">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D">
            <w:pPr>
              <w:spacing w:after="0" w:before="0" w:line="480" w:lineRule="auto"/>
              <w:jc w:val="left"/>
              <w:rPr>
                <w:sz w:val="18"/>
                <w:szCs w:val="18"/>
              </w:rPr>
            </w:pPr>
            <w:r w:rsidDel="00000000" w:rsidR="00000000" w:rsidRPr="00000000">
              <w:rPr>
                <w:sz w:val="18"/>
                <w:szCs w:val="18"/>
                <w:rtl w:val="0"/>
              </w:rPr>
              <w:t xml:space="preserve">can</w:t>
            </w:r>
          </w:p>
        </w:tc>
        <w:tc>
          <w:tcPr/>
          <w:p w:rsidR="00000000" w:rsidDel="00000000" w:rsidP="00000000" w:rsidRDefault="00000000" w:rsidRPr="00000000" w14:paraId="000000EE">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EF">
            <w:pPr>
              <w:spacing w:after="0" w:before="0" w:line="480" w:lineRule="auto"/>
              <w:jc w:val="center"/>
              <w:rPr>
                <w:sz w:val="18"/>
                <w:szCs w:val="18"/>
              </w:rPr>
            </w:pPr>
            <w:r w:rsidDel="00000000" w:rsidR="00000000" w:rsidRPr="00000000">
              <w:rPr>
                <w:sz w:val="18"/>
                <w:szCs w:val="18"/>
                <w:rtl w:val="0"/>
              </w:rPr>
              <w:t xml:space="preserve">5</w:t>
            </w:r>
          </w:p>
        </w:tc>
      </w:tr>
      <w:tr>
        <w:trPr>
          <w:cantSplit w:val="1"/>
          <w:tblHeader w:val="0"/>
        </w:trPr>
        <w:tc>
          <w:tcPr/>
          <w:p w:rsidR="00000000" w:rsidDel="00000000" w:rsidP="00000000" w:rsidRDefault="00000000" w:rsidRPr="00000000" w14:paraId="000000F1">
            <w:pPr>
              <w:spacing w:after="0" w:before="0" w:line="480" w:lineRule="auto"/>
              <w:jc w:val="left"/>
              <w:rPr>
                <w:sz w:val="18"/>
                <w:szCs w:val="18"/>
              </w:rPr>
            </w:pPr>
            <w:r w:rsidDel="00000000" w:rsidR="00000000" w:rsidRPr="00000000">
              <w:rPr>
                <w:sz w:val="18"/>
                <w:szCs w:val="18"/>
                <w:rtl w:val="0"/>
              </w:rPr>
              <w:t xml:space="preserve">could</w:t>
            </w:r>
          </w:p>
        </w:tc>
        <w:tc>
          <w:tcPr/>
          <w:p w:rsidR="00000000" w:rsidDel="00000000" w:rsidP="00000000" w:rsidRDefault="00000000" w:rsidRPr="00000000" w14:paraId="000000F2">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3">
            <w:pPr>
              <w:spacing w:after="0" w:before="0" w:line="480" w:lineRule="auto"/>
              <w:jc w:val="center"/>
              <w:rPr>
                <w:sz w:val="18"/>
                <w:szCs w:val="18"/>
              </w:rPr>
            </w:pPr>
            <w:r w:rsidDel="00000000" w:rsidR="00000000" w:rsidRPr="00000000">
              <w:rPr>
                <w:sz w:val="18"/>
                <w:szCs w:val="18"/>
                <w:rtl w:val="0"/>
              </w:rPr>
              <w:t xml:space="preserve">6</w:t>
            </w:r>
          </w:p>
        </w:tc>
      </w:tr>
      <w:tr>
        <w:trPr>
          <w:cantSplit w:val="1"/>
          <w:tblHeader w:val="0"/>
        </w:trPr>
        <w:tc>
          <w:tcPr/>
          <w:p w:rsidR="00000000" w:rsidDel="00000000" w:rsidP="00000000" w:rsidRDefault="00000000" w:rsidRPr="00000000" w14:paraId="000000F5">
            <w:pPr>
              <w:spacing w:after="0" w:before="0" w:line="480" w:lineRule="auto"/>
              <w:jc w:val="left"/>
              <w:rPr>
                <w:sz w:val="18"/>
                <w:szCs w:val="18"/>
              </w:rPr>
            </w:pPr>
            <w:r w:rsidDel="00000000" w:rsidR="00000000" w:rsidRPr="00000000">
              <w:rPr>
                <w:sz w:val="18"/>
                <w:szCs w:val="18"/>
                <w:rtl w:val="0"/>
              </w:rPr>
              <w:t xml:space="preserve">may</w:t>
            </w:r>
          </w:p>
        </w:tc>
        <w:tc>
          <w:tcPr/>
          <w:p w:rsidR="00000000" w:rsidDel="00000000" w:rsidP="00000000" w:rsidRDefault="00000000" w:rsidRPr="00000000" w14:paraId="000000F6">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7">
            <w:pPr>
              <w:spacing w:after="0" w:before="0" w:line="480" w:lineRule="auto"/>
              <w:jc w:val="center"/>
              <w:rPr>
                <w:sz w:val="18"/>
                <w:szCs w:val="18"/>
              </w:rPr>
            </w:pPr>
            <w:r w:rsidDel="00000000" w:rsidR="00000000" w:rsidRPr="00000000">
              <w:rPr>
                <w:sz w:val="18"/>
                <w:szCs w:val="18"/>
                <w:rtl w:val="0"/>
              </w:rPr>
              <w:t xml:space="preserve">6</w:t>
            </w:r>
          </w:p>
        </w:tc>
      </w:tr>
      <w:tr>
        <w:trPr>
          <w:cantSplit w:val="1"/>
          <w:tblHeader w:val="0"/>
        </w:trPr>
        <w:tc>
          <w:tcPr/>
          <w:p w:rsidR="00000000" w:rsidDel="00000000" w:rsidP="00000000" w:rsidRDefault="00000000" w:rsidRPr="00000000" w14:paraId="000000F9">
            <w:pPr>
              <w:spacing w:after="0" w:before="0" w:line="480" w:lineRule="auto"/>
              <w:jc w:val="left"/>
              <w:rPr>
                <w:sz w:val="18"/>
                <w:szCs w:val="18"/>
              </w:rPr>
            </w:pPr>
            <w:r w:rsidDel="00000000" w:rsidR="00000000" w:rsidRPr="00000000">
              <w:rPr>
                <w:sz w:val="18"/>
                <w:szCs w:val="18"/>
                <w:rtl w:val="0"/>
              </w:rPr>
              <w:t xml:space="preserve">might</w:t>
            </w:r>
          </w:p>
        </w:tc>
        <w:tc>
          <w:tcPr/>
          <w:p w:rsidR="00000000" w:rsidDel="00000000" w:rsidP="00000000" w:rsidRDefault="00000000" w:rsidRPr="00000000" w14:paraId="000000FA">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B">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FD">
            <w:pPr>
              <w:spacing w:after="0" w:before="0" w:line="480" w:lineRule="auto"/>
              <w:jc w:val="left"/>
              <w:rPr>
                <w:sz w:val="18"/>
                <w:szCs w:val="18"/>
              </w:rPr>
            </w:pPr>
            <w:r w:rsidDel="00000000" w:rsidR="00000000" w:rsidRPr="00000000">
              <w:rPr>
                <w:sz w:val="18"/>
                <w:szCs w:val="18"/>
                <w:rtl w:val="0"/>
              </w:rPr>
              <w:t xml:space="preserve">potentially</w:t>
            </w:r>
          </w:p>
        </w:tc>
        <w:tc>
          <w:tcPr/>
          <w:p w:rsidR="00000000" w:rsidDel="00000000" w:rsidP="00000000" w:rsidRDefault="00000000" w:rsidRPr="00000000" w14:paraId="000000FE">
            <w:pPr>
              <w:spacing w:after="0" w:before="0" w:line="480" w:lineRule="auto"/>
              <w:jc w:val="left"/>
              <w:rPr>
                <w:sz w:val="18"/>
                <w:szCs w:val="18"/>
              </w:rPr>
            </w:pPr>
            <w:r w:rsidDel="00000000" w:rsidR="00000000" w:rsidRPr="00000000">
              <w:rPr>
                <w:sz w:val="18"/>
                <w:szCs w:val="18"/>
                <w:rtl w:val="0"/>
              </w:rPr>
              <w:t xml:space="preserve">Adverbial Hedges</w:t>
            </w:r>
          </w:p>
        </w:tc>
        <w:tc>
          <w:tcPr/>
          <w:p w:rsidR="00000000" w:rsidDel="00000000" w:rsidP="00000000" w:rsidRDefault="00000000" w:rsidRPr="00000000" w14:paraId="000000FF">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tcBorders>
              <w:top w:color="000000" w:space="0" w:sz="6" w:val="single"/>
              <w:bottom w:color="000000" w:space="0" w:sz="18" w:val="single"/>
            </w:tcBorders>
          </w:tcPr>
          <w:p w:rsidR="00000000" w:rsidDel="00000000" w:rsidP="00000000" w:rsidRDefault="00000000" w:rsidRPr="00000000" w14:paraId="00000101">
            <w:pPr>
              <w:spacing w:after="0" w:before="0" w:line="480" w:lineRule="auto"/>
              <w:jc w:val="left"/>
              <w:rPr>
                <w:sz w:val="18"/>
                <w:szCs w:val="18"/>
              </w:rPr>
            </w:pPr>
            <w:r w:rsidDel="00000000" w:rsidR="00000000" w:rsidRPr="00000000">
              <w:rPr>
                <w:sz w:val="18"/>
                <w:szCs w:val="18"/>
                <w:rtl w:val="0"/>
              </w:rPr>
              <w:t xml:space="preserve">Total</w:t>
            </w:r>
          </w:p>
        </w:tc>
        <w:tc>
          <w:tcPr>
            <w:tcBorders>
              <w:top w:color="000000" w:space="0" w:sz="6" w:val="single"/>
              <w:bottom w:color="000000" w:space="0" w:sz="18" w:val="single"/>
            </w:tcBorders>
          </w:tcPr>
          <w:p w:rsidR="00000000" w:rsidDel="00000000" w:rsidP="00000000" w:rsidRDefault="00000000" w:rsidRPr="00000000" w14:paraId="00000102">
            <w:pPr>
              <w:spacing w:after="0" w:before="0" w:line="480" w:lineRule="auto"/>
              <w:jc w:val="left"/>
              <w:rPr>
                <w:sz w:val="18"/>
                <w:szCs w:val="18"/>
              </w:rPr>
            </w:pPr>
            <w:r w:rsidDel="00000000" w:rsidR="00000000" w:rsidRPr="00000000">
              <w:rPr>
                <w:rtl w:val="0"/>
              </w:rPr>
            </w:r>
          </w:p>
        </w:tc>
        <w:tc>
          <w:tcPr>
            <w:tcBorders>
              <w:top w:color="000000" w:space="0" w:sz="6" w:val="single"/>
              <w:bottom w:color="000000" w:space="0" w:sz="18" w:val="single"/>
            </w:tcBorders>
          </w:tcPr>
          <w:p w:rsidR="00000000" w:rsidDel="00000000" w:rsidP="00000000" w:rsidRDefault="00000000" w:rsidRPr="00000000" w14:paraId="00000103">
            <w:pPr>
              <w:spacing w:after="0" w:before="0" w:line="480" w:lineRule="auto"/>
              <w:jc w:val="center"/>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106">
      <w:pPr>
        <w:spacing w:after="0" w:before="0" w:line="480" w:lineRule="auto"/>
        <w:ind w:firstLine="720"/>
        <w:jc w:val="both"/>
        <w:rPr/>
      </w:pPr>
      <w:r>
        <w:rPr>
          <w:rFonts w:ascii="Georgia" w:hAnsi="Georgia" w:eastAsia="Georgia" w:cs="Georgia"/>
          <w:b w:val="0"/>
          <w:sz w:val="22"/>
        </w:rPr>
        <w:t>The distribution of hedge types shows cross-disciplinary differences, most clearly in Veterinary Medicine’s small total and low modal share. Table 4 presents the per-discipline breakdown of hedge types. Read against other corpora where type distribution also shifts by field or writer group (Wang, 2022; Hyland, 1996a), that cell is a local type profile in this sample, not only evidence that VM hedges less often.</w:t>
      </w:r>
    </w:p>
    <w:p w:rsidR="00000000" w:rsidDel="00000000" w:rsidP="00000000" w:rsidRDefault="00000000" w:rsidRPr="00000000" w14:paraId="00000107">
      <w:pPr>
        <w:keepNext w:val="1"/>
        <w:pageBreakBefore w:val="0"/>
        <w:spacing w:after="0" w:before="720" w:line="480" w:lineRule="auto"/>
        <w:ind w:firstLine="0"/>
        <w:jc w:val="center"/>
        <w:rPr/>
      </w:pPr>
      <w:r>
        <w:rPr>
          <w:rFonts w:ascii="Georgia" w:hAnsi="Georgia" w:eastAsia="Georgia" w:cs="Georgia"/>
          <w:b w:val="0"/>
          <w:sz w:val="22"/>
        </w:rPr>
        <w:t>Table 4</w:t>
      </w:r>
    </w:p>
    <w:p w:rsidR="00000000" w:rsidDel="00000000" w:rsidP="00000000" w:rsidRDefault="00000000" w:rsidRPr="00000000" w14:paraId="00000108">
      <w:pPr>
        <w:keepNext w:val="1"/>
        <w:spacing w:after="60" w:before="0" w:line="480" w:lineRule="auto"/>
        <w:jc w:val="center"/>
        <w:rPr/>
      </w:pPr>
      <w:r w:rsidDel="00000000" w:rsidR="00000000" w:rsidRPr="00000000">
        <w:rPr>
          <w:rtl w:val="0"/>
        </w:rPr>
        <w:t xml:space="preserve">Hedge Type Distribution by Discipline</w:t>
      </w:r>
    </w:p>
    <w:tbl>
      <w:tblPr>
        <w:tblStyle w:val="Table4"/>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09">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A">
            <w:pPr>
              <w:spacing w:after="0" w:before="0" w:line="480" w:lineRule="auto"/>
              <w:rPr>
                <w:sz w:val="18"/>
                <w:szCs w:val="18"/>
              </w:rPr>
            </w:pPr>
            <w:r w:rsidDel="00000000" w:rsidR="00000000" w:rsidRPr="00000000">
              <w:rPr>
                <w:b w:val="1"/>
                <w:bCs w:val="1"/>
                <w:i w:val="0"/>
                <w:iCs w:val="0"/>
                <w:sz w:val="18"/>
                <w:szCs w:val="18"/>
                <w:rtl w:val="0"/>
              </w:rPr>
              <w:t xml:space="preserve">Modal Verbs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B">
            <w:pPr>
              <w:spacing w:after="0" w:before="0" w:line="480" w:lineRule="auto"/>
              <w:rPr>
                <w:sz w:val="18"/>
                <w:szCs w:val="18"/>
              </w:rPr>
            </w:pPr>
            <w:r w:rsidDel="00000000" w:rsidR="00000000" w:rsidRPr="00000000">
              <w:rPr>
                <w:b w:val="1"/>
                <w:bCs w:val="1"/>
                <w:i w:val="0"/>
                <w:iCs w:val="0"/>
                <w:sz w:val="18"/>
                <w:szCs w:val="18"/>
                <w:rtl w:val="0"/>
              </w:rPr>
              <w:t xml:space="preserve">Lexical 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C">
            <w:pPr>
              <w:spacing w:after="0" w:before="0" w:line="480" w:lineRule="auto"/>
              <w:rPr>
                <w:sz w:val="18"/>
                <w:szCs w:val="18"/>
              </w:rPr>
            </w:pPr>
            <w:r w:rsidDel="00000000" w:rsidR="00000000" w:rsidRPr="00000000">
              <w:rPr>
                <w:b w:val="1"/>
                <w:bCs w:val="1"/>
                <w:i w:val="0"/>
                <w:iCs w:val="0"/>
                <w:sz w:val="18"/>
                <w:szCs w:val="18"/>
                <w:rtl w:val="0"/>
              </w:rPr>
              <w:t xml:space="preserve">Adverbial</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D">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Clause-</w:t>
            </w:r>
          </w:p>
          <w:p w:rsidR="00000000" w:rsidDel="00000000" w:rsidP="00000000" w:rsidRDefault="00000000" w:rsidRPr="00000000" w14:paraId="0000010E">
            <w:pPr>
              <w:spacing w:after="0" w:before="0" w:line="480" w:lineRule="auto"/>
              <w:rPr>
                <w:sz w:val="18"/>
                <w:szCs w:val="18"/>
              </w:rPr>
            </w:pPr>
            <w:r w:rsidDel="00000000" w:rsidR="00000000" w:rsidRPr="00000000">
              <w:rPr>
                <w:b w:val="1"/>
                <w:bCs w:val="1"/>
                <w:i w:val="0"/>
                <w:iCs w:val="0"/>
                <w:sz w:val="18"/>
                <w:szCs w:val="18"/>
                <w:rtl w:val="0"/>
              </w:rPr>
              <w:t xml:space="preserve">Level</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F">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10">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11">
            <w:pPr>
              <w:spacing w:after="0" w:before="0" w:line="480" w:lineRule="auto"/>
              <w:rPr>
                <w:sz w:val="18"/>
                <w:szCs w:val="18"/>
              </w:rPr>
            </w:pPr>
            <w:r w:rsidDel="00000000" w:rsidR="00000000" w:rsidRPr="00000000">
              <w:rPr>
                <w:sz w:val="18"/>
                <w:szCs w:val="18"/>
                <w:rtl w:val="0"/>
              </w:rPr>
              <w:t>13</w:t>
            </w:r>
          </w:p>
        </w:tc>
        <w:tc>
          <w:tcPr/>
          <w:p w:rsidR="00000000" w:rsidDel="00000000" w:rsidP="00000000" w:rsidRDefault="00000000" w:rsidRPr="00000000" w14:paraId="00000112">
            <w:pPr>
              <w:spacing w:after="0" w:before="0" w:line="480" w:lineRule="auto"/>
              <w:rPr>
                <w:sz w:val="18"/>
                <w:szCs w:val="18"/>
              </w:rPr>
            </w:pPr>
            <w:r w:rsidDel="00000000" w:rsidR="00000000" w:rsidRPr="00000000">
              <w:rPr>
                <w:sz w:val="18"/>
                <w:szCs w:val="18"/>
                <w:rtl w:val="0"/>
              </w:rPr>
              <w:t>14</w:t>
            </w:r>
          </w:p>
        </w:tc>
        <w:tc>
          <w:tcPr/>
          <w:p w:rsidR="00000000" w:rsidDel="00000000" w:rsidP="00000000" w:rsidRDefault="00000000" w:rsidRPr="00000000" w14:paraId="00000113">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4">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5">
            <w:pPr>
              <w:spacing w:after="0" w:before="0" w:line="480" w:lineRule="auto"/>
              <w:rPr>
                <w:sz w:val="18"/>
                <w:szCs w:val="18"/>
              </w:rPr>
            </w:pPr>
            <w:r w:rsidDel="00000000" w:rsidR="00000000" w:rsidRPr="00000000">
              <w:rPr>
                <w:sz w:val="18"/>
                <w:szCs w:val="18"/>
                <w:rtl w:val="0"/>
              </w:rPr>
              <w:t xml:space="preserve">27</w:t>
            </w:r>
          </w:p>
        </w:tc>
      </w:tr>
      <w:tr>
        <w:trPr>
          <w:cantSplit w:val="1"/>
          <w:tblHeader w:val="0"/>
        </w:trPr>
        <w:tc>
          <w:tcPr/>
          <w:p w:rsidR="00000000" w:rsidDel="00000000" w:rsidP="00000000" w:rsidRDefault="00000000" w:rsidRPr="00000000" w14:paraId="00000116">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17">
            <w:pPr>
              <w:spacing w:after="0" w:before="0" w:line="480" w:lineRule="auto"/>
              <w:rPr>
                <w:sz w:val="18"/>
                <w:szCs w:val="18"/>
              </w:rPr>
            </w:pPr>
            <w:r w:rsidDel="00000000" w:rsidR="00000000" w:rsidRPr="00000000">
              <w:rPr>
                <w:i w:val="0"/>
                <w:iCs w:val="0"/>
                <w:sz w:val="18"/>
                <w:szCs w:val="18"/>
                <w:rtl w:val="0"/>
              </w:rPr>
              <w:t>5</w:t>
            </w:r>
            <w:r w:rsidDel="00000000" w:rsidR="00000000" w:rsidRPr="00000000">
              <w:rPr>
                <w:rtl w:val="0"/>
              </w:rPr>
            </w:r>
          </w:p>
        </w:tc>
        <w:tc>
          <w:tcPr/>
          <w:p w:rsidR="00000000" w:rsidDel="00000000" w:rsidP="00000000" w:rsidRDefault="00000000" w:rsidRPr="00000000" w14:paraId="00000118">
            <w:pPr>
              <w:spacing w:after="0" w:before="0" w:line="480" w:lineRule="auto"/>
              <w:rPr>
                <w:sz w:val="18"/>
                <w:szCs w:val="18"/>
              </w:rPr>
            </w:pPr>
            <w:r w:rsidDel="00000000" w:rsidR="00000000" w:rsidRPr="00000000">
              <w:rPr>
                <w:i w:val="0"/>
                <w:iCs w:val="0"/>
                <w:sz w:val="18"/>
                <w:szCs w:val="18"/>
                <w:rtl w:val="0"/>
              </w:rPr>
              <w:t>20</w:t>
            </w:r>
            <w:r w:rsidDel="00000000" w:rsidR="00000000" w:rsidRPr="00000000">
              <w:rPr>
                <w:rtl w:val="0"/>
              </w:rPr>
            </w:r>
          </w:p>
        </w:tc>
        <w:tc>
          <w:tcPr/>
          <w:p w:rsidR="00000000" w:rsidDel="00000000" w:rsidP="00000000" w:rsidRDefault="00000000" w:rsidRPr="00000000" w14:paraId="00000119">
            <w:pPr>
              <w:spacing w:after="0" w:before="0" w:line="480" w:lineRule="auto"/>
              <w:rPr>
                <w:sz w:val="18"/>
                <w:szCs w:val="18"/>
              </w:rPr>
            </w:pPr>
            <w:r w:rsidDel="00000000" w:rsidR="00000000" w:rsidRPr="00000000">
              <w:rPr>
                <w:i w:val="0"/>
                <w:iCs w:val="0"/>
                <w:sz w:val="18"/>
                <w:szCs w:val="18"/>
                <w:rtl w:val="0"/>
              </w:rPr>
              <w:t>3</w:t>
            </w:r>
            <w:r w:rsidDel="00000000" w:rsidR="00000000" w:rsidRPr="00000000">
              <w:rPr>
                <w:rtl w:val="0"/>
              </w:rPr>
            </w:r>
          </w:p>
        </w:tc>
        <w:tc>
          <w:tcPr/>
          <w:p w:rsidR="00000000" w:rsidDel="00000000" w:rsidP="00000000" w:rsidRDefault="00000000" w:rsidRPr="00000000" w14:paraId="0000011A">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B">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r>
      <w:tr>
        <w:trPr>
          <w:cantSplit w:val="1"/>
          <w:tblHeader w:val="0"/>
        </w:trPr>
        <w:tc>
          <w:tcPr/>
          <w:p w:rsidR="00000000" w:rsidDel="00000000" w:rsidP="00000000" w:rsidRDefault="00000000" w:rsidRPr="00000000" w14:paraId="0000011C">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1D">
            <w:pPr>
              <w:spacing w:after="0" w:before="0" w:line="480" w:lineRule="auto"/>
              <w:rPr>
                <w:sz w:val="18"/>
                <w:szCs w:val="18"/>
              </w:rPr>
            </w:pPr>
            <w:r w:rsidDel="00000000" w:rsidR="00000000" w:rsidRPr="00000000">
              <w:rPr>
                <w:i w:val="0"/>
                <w:iCs w:val="0"/>
                <w:sz w:val="18"/>
                <w:szCs w:val="18"/>
                <w:rtl w:val="0"/>
              </w:rPr>
              <w:t>2</w:t>
            </w:r>
            <w:r w:rsidDel="00000000" w:rsidR="00000000" w:rsidRPr="00000000">
              <w:rPr>
                <w:rtl w:val="0"/>
              </w:rPr>
            </w:r>
          </w:p>
        </w:tc>
        <w:tc>
          <w:tcPr/>
          <w:p w:rsidR="00000000" w:rsidDel="00000000" w:rsidP="00000000" w:rsidRDefault="00000000" w:rsidRPr="00000000" w14:paraId="0000011E">
            <w:pPr>
              <w:spacing w:after="0" w:before="0" w:line="480" w:lineRule="auto"/>
              <w:rPr>
                <w:sz w:val="18"/>
                <w:szCs w:val="18"/>
              </w:rPr>
            </w:pPr>
            <w:r w:rsidDel="00000000" w:rsidR="00000000" w:rsidRPr="00000000">
              <w:rPr>
                <w:i w:val="0"/>
                <w:iCs w:val="0"/>
                <w:sz w:val="18"/>
                <w:szCs w:val="18"/>
                <w:rtl w:val="0"/>
              </w:rPr>
              <w:t>8</w:t>
            </w:r>
            <w:r w:rsidDel="00000000" w:rsidR="00000000" w:rsidRPr="00000000">
              <w:rPr>
                <w:rtl w:val="0"/>
              </w:rPr>
            </w:r>
          </w:p>
        </w:tc>
        <w:tc>
          <w:tcPr/>
          <w:p w:rsidR="00000000" w:rsidDel="00000000" w:rsidP="00000000" w:rsidRDefault="00000000" w:rsidRPr="00000000" w14:paraId="0000011F">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20">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21">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22">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23">
            <w:pPr>
              <w:spacing w:after="0" w:before="0" w:line="480" w:lineRule="auto"/>
              <w:rPr>
                <w:sz w:val="18"/>
                <w:szCs w:val="18"/>
              </w:rPr>
            </w:pPr>
            <w:r w:rsidDel="00000000" w:rsidR="00000000" w:rsidRPr="00000000">
              <w:rPr>
                <w:sz w:val="18"/>
                <w:szCs w:val="18"/>
                <w:rtl w:val="0"/>
              </w:rPr>
              <w:t>20</w:t>
            </w:r>
          </w:p>
        </w:tc>
        <w:tc>
          <w:tcPr>
            <w:tcBorders>
              <w:bottom w:color="000000" w:space="0" w:sz="18" w:val="single"/>
            </w:tcBorders>
          </w:tcPr>
          <w:p w:rsidR="00000000" w:rsidDel="00000000" w:rsidP="00000000" w:rsidRDefault="00000000" w:rsidRPr="00000000" w14:paraId="00000124">
            <w:pPr>
              <w:spacing w:after="0" w:before="0" w:line="480" w:lineRule="auto"/>
              <w:rPr>
                <w:sz w:val="18"/>
                <w:szCs w:val="18"/>
              </w:rPr>
            </w:pPr>
            <w:r w:rsidDel="00000000" w:rsidR="00000000" w:rsidRPr="00000000">
              <w:rPr>
                <w:sz w:val="18"/>
                <w:szCs w:val="18"/>
                <w:rtl w:val="0"/>
              </w:rPr>
              <w:t>42</w:t>
            </w:r>
          </w:p>
        </w:tc>
        <w:tc>
          <w:tcPr>
            <w:tcBorders>
              <w:bottom w:color="000000" w:space="0" w:sz="18" w:val="single"/>
            </w:tcBorders>
          </w:tcPr>
          <w:p w:rsidR="00000000" w:rsidDel="00000000" w:rsidP="00000000" w:rsidRDefault="00000000" w:rsidRPr="00000000" w14:paraId="00000125">
            <w:pPr>
              <w:spacing w:after="0" w:before="0" w:line="480" w:lineRule="auto"/>
              <w:rPr>
                <w:sz w:val="18"/>
                <w:szCs w:val="18"/>
              </w:rPr>
            </w:pPr>
            <w:r w:rsidDel="00000000" w:rsidR="00000000" w:rsidRPr="00000000">
              <w:rPr>
                <w:sz w:val="18"/>
                <w:szCs w:val="18"/>
                <w:rtl w:val="0"/>
              </w:rPr>
              <w:t>3</w:t>
            </w:r>
          </w:p>
        </w:tc>
        <w:tc>
          <w:tcPr>
            <w:tcBorders>
              <w:bottom w:color="000000" w:space="0" w:sz="18" w:val="single"/>
            </w:tcBorders>
          </w:tcPr>
          <w:p w:rsidR="00000000" w:rsidDel="00000000" w:rsidP="00000000" w:rsidRDefault="00000000" w:rsidRPr="00000000" w14:paraId="00000126">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tcBorders>
              <w:bottom w:color="000000" w:space="0" w:sz="18" w:val="single"/>
            </w:tcBorders>
          </w:tcPr>
          <w:p w:rsidR="00000000" w:rsidDel="00000000" w:rsidP="00000000" w:rsidRDefault="00000000" w:rsidRPr="00000000" w14:paraId="00000127">
            <w:pPr>
              <w:spacing w:after="0" w:before="0" w:line="480" w:lineRule="auto"/>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128">
      <w:pPr>
        <w:spacing w:after="0" w:before="240" w:line="480" w:lineRule="auto"/>
        <w:ind w:firstLine="720"/>
        <w:jc w:val="both"/>
        <w:rPr/>
      </w:pPr>
      <w:r>
        <w:rPr>
          <w:rFonts w:ascii="Georgia" w:hAnsi="Georgia" w:eastAsia="Georgia" w:cs="Georgia"/>
          <w:b w:val="0"/>
          <w:sz w:val="22"/>
        </w:rPr>
        <w:t>Table 4 shows that Agriculture has a balanced type mix (13 modal verbs vs. 14 lexical hedges), while Biology is heavily lexical (20 of 28 hedges, with only 5 modal verbs). Veterinary Medicine, with only 10 total hedges, is also predominantly lexical (8 of 10). Agriculture is the only discipline in which modal verbs come close to half of the hedge tokens.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p>
    <w:p w:rsidR="00000000" w:rsidDel="00000000" w:rsidP="00000000" w:rsidRDefault="00000000" w:rsidRPr="00000000" w14:paraId="00000129">
      <w:pPr>
        <w:spacing w:after="0" w:before="0" w:line="480" w:lineRule="auto"/>
        <w:ind w:firstLine="720"/>
        <w:jc w:val="both"/>
        <w:rPr/>
      </w:pPr>
      <w:r w:rsidDel="00000000" w:rsidR="00000000" w:rsidRPr="00000000">
        <w:rPr>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rsidR="00000000" w:rsidDel="00000000" w:rsidP="00000000" w:rsidRDefault="00000000" w:rsidRPr="00000000" w14:paraId="0000012A">
      <w:pPr>
        <w:spacing w:after="0" w:before="0" w:line="480" w:lineRule="auto"/>
        <w:ind w:firstLine="720"/>
        <w:jc w:val="both"/>
        <w:rPr/>
      </w:pPr>
      <w:r>
        <w:rPr>
          <w:rFonts w:ascii="Georgia" w:hAnsi="Georgia" w:eastAsia="Georgia" w:cs="Georgia"/>
          <w:b w:val="0"/>
          <w:sz w:val="22"/>
        </w:rPr>
        <w:t>Alongside the 65 retained epistemic caution hedges (and no politeness/deference tokens), the corpus yielded 65 false positive tokens, hedge-like words that failed the claim condition or both removal checks at Step 2. Those retained-hedge and false-positive totals are set out together in Part III. The false positive total reflects topic-naming potential, recommendations, capability readings, procedural norms, and similar non-claim frames rather than a pre-filter applied before Step 2.</w:t>
      </w:r>
    </w:p>
    <w:p w:rsidR="00000000" w:rsidDel="00000000" w:rsidP="00000000" w:rsidRDefault="00000000" w:rsidRPr="00000000" w14:paraId="0000012B">
      <w:pPr>
        <w:spacing w:after="0" w:before="0" w:line="480" w:lineRule="auto"/>
        <w:ind w:firstLine="720"/>
        <w:jc w:val="both"/>
        <w:rPr/>
      </w:pPr>
      <w:r w:rsidDel="00000000" w:rsidR="00000000" w:rsidRPr="00000000">
        <w:rPr>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warranted, not how many assertion slots exist in the corpus.</w:t>
      </w:r>
    </w:p>
    <w:p w:rsidR="00000000" w:rsidDel="00000000" w:rsidP="00000000" w:rsidRDefault="00000000" w:rsidRPr="00000000" w14:paraId="0000012C">
      <w:pPr>
        <w:spacing w:after="0" w:before="0" w:line="480" w:lineRule="auto"/>
        <w:ind w:firstLine="720"/>
        <w:jc w:val="both"/>
        <w:rPr/>
      </w:pPr>
      <w:r w:rsidDel="00000000" w:rsidR="00000000" w:rsidRPr="00000000">
        <w:rPr>
          <w:rtl w:val="0"/>
        </w:rPr>
        <w:t xml:space="preserve">A limited count of assertive reporting forms in the 25 zero-hedge abstracts found recurring items such as </w:t>
      </w:r>
      <w:r w:rsidDel="00000000" w:rsidR="00000000" w:rsidRPr="00000000">
        <w:rPr>
          <w:i w:val="1"/>
          <w:iCs w:val="1"/>
          <w:rtl w:val="0"/>
        </w:rPr>
        <w:t xml:space="preserve">showed, revealed, observed</w:t>
      </w:r>
      <w:r w:rsidDel="00000000" w:rsidR="00000000" w:rsidRPr="00000000">
        <w:rPr>
          <w:rtl w:val="0"/>
        </w:rPr>
        <w:t xml:space="preserve">, and </w:t>
      </w:r>
      <w:r w:rsidDel="00000000" w:rsidR="00000000" w:rsidRPr="00000000">
        <w:rPr>
          <w:i w:val="1"/>
          <w:iCs w:val="1"/>
          <w:rtl w:val="0"/>
        </w:rPr>
        <w:t xml:space="preserve">highest</w:t>
      </w:r>
      <w:r w:rsidDel="00000000" w:rsidR="00000000" w:rsidRPr="00000000">
        <w:rPr>
          <w:rtl w:val="0"/>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rsidR="00000000" w:rsidDel="00000000" w:rsidP="00000000" w:rsidRDefault="00000000" w:rsidRPr="00000000" w14:paraId="0000012D">
      <w:pPr>
        <w:keepNext w:val="1"/>
        <w:spacing w:after="120" w:before="240" w:line="480" w:lineRule="auto"/>
        <w:ind w:firstLine="0"/>
        <w:rPr>
          <w:sz w:val="24"/>
          <w:szCs w:val="24"/>
        </w:rPr>
      </w:pPr>
      <w:r w:rsidDel="00000000" w:rsidR="00000000" w:rsidRPr="00000000">
        <w:rPr>
          <w:b w:val="1"/>
          <w:b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Pr>
          <w:rFonts w:ascii="Georgia" w:hAnsi="Georgia" w:eastAsia="Georgia" w:cs="Georgia"/>
          <w:b w:val="0"/>
          <w:sz w:val="22"/>
        </w:rPr>
        <w:t>Cross-disciplinary comparison shows differences in hedge density, driven mainly by Veterinary Medicine’s lower rate. Table 5 presents the hedge counts, false positives, unhedged assertions, and normalized frequency (hedges per 100 words) for each discipline.</w:t>
      </w:r>
    </w:p>
    <w:p w:rsidR="00000000" w:rsidDel="00000000" w:rsidP="00000000" w:rsidRDefault="00000000" w:rsidRPr="00000000" w14:paraId="0000012F">
      <w:pPr>
        <w:keepNext w:val="1"/>
        <w:spacing w:after="0" w:before="720" w:line="480" w:lineRule="auto"/>
        <w:ind w:firstLine="0"/>
        <w:jc w:val="center"/>
        <w:rPr/>
      </w:pPr>
      <w:r>
        <w:rPr>
          <w:rFonts w:ascii="Georgia" w:hAnsi="Georgia" w:eastAsia="Georgia" w:cs="Georgia"/>
          <w:b w:val="0"/>
          <w:sz w:val="22"/>
        </w:rPr>
        <w:t>Table 5</w:t>
      </w:r>
    </w:p>
    <w:p w:rsidR="00000000" w:rsidDel="00000000" w:rsidP="00000000" w:rsidRDefault="00000000" w:rsidRPr="00000000" w14:paraId="00000130">
      <w:pPr>
        <w:keepNext w:val="1"/>
        <w:spacing w:after="60" w:before="0" w:line="480" w:lineRule="auto"/>
        <w:jc w:val="center"/>
        <w:rPr/>
      </w:pPr>
      <w:r w:rsidDel="00000000" w:rsidR="00000000" w:rsidRPr="00000000">
        <w:rPr>
          <w:rtl w:val="0"/>
        </w:rPr>
        <w:t xml:space="preserve">Hedge Frequency by Discipline</w:t>
      </w:r>
    </w:p>
    <w:tbl>
      <w:tblPr>
        <w:tblStyle w:val="Table5"/>
        <w:tblW w:w="8354.0" w:type="dxa"/>
        <w:jc w:val="left"/>
        <w:tblInd w:w="-223.0" w:type="dxa"/>
        <w:tblLayout w:type="fixed"/>
        <w:tblLook w:val="0400"/>
      </w:tblPr>
      <w:tblGrid>
        <w:gridCol w:w="1214"/>
        <w:gridCol w:w="1171"/>
        <w:gridCol w:w="900"/>
        <w:gridCol w:w="930"/>
        <w:gridCol w:w="599"/>
        <w:gridCol w:w="1356"/>
        <w:gridCol w:w="1000"/>
        <w:gridCol w:w="1184"/>
        <w:tblGridChange w:id="0">
          <w:tblGrid>
            <w:gridCol w:w="1214"/>
            <w:gridCol w:w="1171"/>
            <w:gridCol w:w="900"/>
            <w:gridCol w:w="930"/>
            <w:gridCol w:w="599"/>
            <w:gridCol w:w="1356"/>
            <w:gridCol w:w="1000"/>
            <w:gridCol w:w="11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31">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2">
            <w:pPr>
              <w:spacing w:after="0" w:before="0" w:line="480" w:lineRule="auto"/>
              <w:rPr>
                <w:sz w:val="18"/>
                <w:szCs w:val="18"/>
              </w:rPr>
            </w:pPr>
            <w:r w:rsidDel="00000000" w:rsidR="00000000" w:rsidRPr="00000000">
              <w:rPr>
                <w:b w:val="1"/>
                <w:bCs w:val="1"/>
                <w:i w:val="0"/>
                <w:iCs w:val="0"/>
                <w:sz w:val="18"/>
                <w:szCs w:val="18"/>
                <w:rtl w:val="0"/>
              </w:rPr>
              <w:t xml:space="preserve">Abstracts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3">
            <w:pPr>
              <w:spacing w:after="0" w:before="0" w:line="480" w:lineRule="auto"/>
              <w:rPr>
                <w:sz w:val="18"/>
                <w:szCs w:val="18"/>
              </w:rPr>
            </w:pPr>
            <w:r w:rsidDel="00000000" w:rsidR="00000000" w:rsidRPr="00000000">
              <w:rPr>
                <w:b w:val="1"/>
                <w:bCs w:val="1"/>
                <w:i w:val="0"/>
                <w:iCs w:val="0"/>
                <w:sz w:val="18"/>
                <w:szCs w:val="18"/>
                <w:rtl w:val="0"/>
              </w:rPr>
              <w:t xml:space="preserve">Words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4">
            <w:pPr>
              <w:spacing w:after="0" w:before="0" w:line="480" w:lineRule="auto"/>
              <w:rPr>
                <w:sz w:val="18"/>
                <w:szCs w:val="18"/>
              </w:rPr>
            </w:pPr>
            <w:r w:rsidDel="00000000" w:rsidR="00000000" w:rsidRPr="00000000">
              <w:rPr>
                <w:b w:val="1"/>
                <w:bCs w:val="1"/>
                <w:i w:val="0"/>
                <w:iCs w:val="0"/>
                <w:sz w:val="18"/>
                <w:szCs w:val="18"/>
                <w:rtl w:val="0"/>
              </w:rPr>
              <w:t xml:space="preserve">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5">
            <w:pPr>
              <w:spacing w:after="0" w:before="0" w:line="480" w:lineRule="auto"/>
              <w:rPr>
                <w:sz w:val="18"/>
                <w:szCs w:val="18"/>
              </w:rPr>
            </w:pPr>
            <w:r w:rsidDel="00000000" w:rsidR="00000000" w:rsidRPr="00000000">
              <w:rPr>
                <w:b w:val="1"/>
                <w:bCs w:val="1"/>
                <w:i w:val="0"/>
                <w:iCs w:val="0"/>
                <w:sz w:val="18"/>
                <w:szCs w:val="18"/>
                <w:rtl w:val="0"/>
              </w:rPr>
              <w:t>False positives</w:t>
            </w:r>
          </w:p>
        </w:tc>
        <w:tc>
          <w:tcPr>
            <w:tcBorders>
              <w:top w:color="000000" w:space="0" w:sz="18" w:val="single"/>
              <w:bottom w:color="000000" w:space="0" w:sz="4" w:val="single"/>
            </w:tcBorders>
          </w:tcPr>
          <w:p w:rsidR="00000000" w:rsidDel="00000000" w:rsidP="00000000" w:rsidRDefault="00000000" w:rsidRPr="00000000" w14:paraId="00000136">
            <w:pPr>
              <w:spacing w:after="0" w:before="0" w:line="480" w:lineRule="auto"/>
              <w:jc w:val="center"/>
              <w:rPr>
                <w:sz w:val="18"/>
                <w:szCs w:val="18"/>
              </w:rPr>
            </w:pPr>
            <w:r w:rsidDel="00000000" w:rsidR="00000000" w:rsidRPr="00000000">
              <w:rPr>
                <w:b w:val="1"/>
                <w:bCs w:val="1"/>
                <w:i w:val="0"/>
                <w:iCs w:val="0"/>
                <w:sz w:val="18"/>
                <w:szCs w:val="18"/>
                <w:rtl w:val="0"/>
              </w:rPr>
              <w:t xml:space="preserve">Unhedged</w:t>
              <w:br w:type="textWrapping"/>
              <w:t xml:space="preserve">assertions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7">
            <w:pPr>
              <w:spacing w:after="0" w:before="0" w:line="480" w:lineRule="auto"/>
              <w:rPr>
                <w:b w:val="1"/>
                <w:bCs w:val="1"/>
                <w:sz w:val="18"/>
                <w:szCs w:val="18"/>
              </w:rPr>
            </w:pPr>
            <w:r w:rsidDel="00000000" w:rsidR="00000000" w:rsidRPr="00000000">
              <w:rPr>
                <w:b w:val="1"/>
                <w:bCs w:val="1"/>
                <w:i w:val="0"/>
                <w:iCs w:val="0"/>
                <w:sz w:val="18"/>
                <w:szCs w:val="18"/>
                <w:rtl w:val="0"/>
              </w:rPr>
              <w:t xml:space="preserve">Zero-</w:t>
            </w:r>
            <w:r w:rsidDel="00000000" w:rsidR="00000000" w:rsidRPr="00000000">
              <w:rPr>
                <w:rtl w:val="0"/>
              </w:rPr>
            </w:r>
          </w:p>
          <w:p w:rsidR="00000000" w:rsidDel="00000000" w:rsidP="00000000" w:rsidRDefault="00000000" w:rsidRPr="00000000" w14:paraId="00000138">
            <w:pPr>
              <w:spacing w:after="0" w:before="0" w:line="480" w:lineRule="auto"/>
              <w:rPr>
                <w:sz w:val="18"/>
                <w:szCs w:val="18"/>
              </w:rPr>
            </w:pPr>
            <w:r w:rsidDel="00000000" w:rsidR="00000000" w:rsidRPr="00000000">
              <w:rPr>
                <w:b w:val="1"/>
                <w:bCs w:val="1"/>
                <w:i w:val="0"/>
                <w:iCs w:val="0"/>
                <w:sz w:val="18"/>
                <w:szCs w:val="18"/>
                <w:rtl w:val="0"/>
              </w:rPr>
              <w:t xml:space="preserve">Hedge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9">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Hedges/</w:t>
            </w:r>
          </w:p>
          <w:p w:rsidR="00000000" w:rsidDel="00000000" w:rsidP="00000000" w:rsidRDefault="00000000" w:rsidRPr="00000000" w14:paraId="0000013A">
            <w:pPr>
              <w:spacing w:after="0" w:before="0" w:line="480" w:lineRule="auto"/>
              <w:rPr>
                <w:sz w:val="18"/>
                <w:szCs w:val="18"/>
              </w:rPr>
            </w:pPr>
            <w:r w:rsidDel="00000000" w:rsidR="00000000" w:rsidRPr="00000000">
              <w:rPr>
                <w:b w:val="1"/>
                <w:bCs w:val="1"/>
                <w:i w:val="0"/>
                <w:iCs w:val="0"/>
                <w:sz w:val="18"/>
                <w:szCs w:val="18"/>
                <w:rtl w:val="0"/>
              </w:rPr>
              <w:t xml:space="preserve">100w</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3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3D">
            <w:pPr>
              <w:spacing w:after="0" w:before="0" w:line="480" w:lineRule="auto"/>
              <w:rPr>
                <w:sz w:val="18"/>
                <w:szCs w:val="18"/>
              </w:rPr>
            </w:pPr>
            <w:r w:rsidDel="00000000" w:rsidR="00000000" w:rsidRPr="00000000">
              <w:rPr>
                <w:sz w:val="18"/>
                <w:szCs w:val="18"/>
                <w:rtl w:val="0"/>
              </w:rPr>
              <w:t xml:space="preserve">4,300</w:t>
            </w:r>
          </w:p>
        </w:tc>
        <w:tc>
          <w:tcPr/>
          <w:p w:rsidR="00000000" w:rsidDel="00000000" w:rsidP="00000000" w:rsidRDefault="00000000" w:rsidRPr="00000000" w14:paraId="0000013E">
            <w:pPr>
              <w:spacing w:after="0" w:before="0" w:line="480" w:lineRule="auto"/>
              <w:rPr>
                <w:sz w:val="18"/>
                <w:szCs w:val="18"/>
              </w:rPr>
            </w:pPr>
            <w:r w:rsidDel="00000000" w:rsidR="00000000" w:rsidRPr="00000000">
              <w:rPr>
                <w:sz w:val="18"/>
                <w:szCs w:val="18"/>
                <w:rtl w:val="0"/>
              </w:rPr>
              <w:t xml:space="preserve">27</w:t>
            </w:r>
          </w:p>
        </w:tc>
        <w:tc>
          <w:tcPr/>
          <w:p w:rsidR="00000000" w:rsidDel="00000000" w:rsidP="00000000" w:rsidRDefault="00000000" w:rsidRPr="00000000" w14:paraId="0000013F">
            <w:pPr>
              <w:spacing w:after="0" w:before="0" w:line="480" w:lineRule="auto"/>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140">
            <w:pPr>
              <w:spacing w:after="0" w:before="0" w:line="480" w:lineRule="auto"/>
              <w:rPr>
                <w:sz w:val="18"/>
                <w:szCs w:val="18"/>
              </w:rPr>
            </w:pPr>
            <w:r w:rsidDel="00000000" w:rsidR="00000000" w:rsidRPr="00000000">
              <w:rPr>
                <w:i w:val="0"/>
                <w:iCs w:val="0"/>
                <w:sz w:val="18"/>
                <w:szCs w:val="18"/>
                <w:rtl w:val="0"/>
              </w:rPr>
              <w:t xml:space="preserve">6</w:t>
            </w:r>
            <w:r w:rsidDel="00000000" w:rsidR="00000000" w:rsidRPr="00000000">
              <w:rPr>
                <w:rtl w:val="0"/>
              </w:rPr>
            </w:r>
          </w:p>
        </w:tc>
        <w:tc>
          <w:tcPr/>
          <w:p w:rsidR="00000000" w:rsidDel="00000000" w:rsidP="00000000" w:rsidRDefault="00000000" w:rsidRPr="00000000" w14:paraId="00000141">
            <w:pPr>
              <w:spacing w:after="0" w:before="0" w:line="480" w:lineRule="auto"/>
              <w:rPr>
                <w:sz w:val="18"/>
                <w:szCs w:val="18"/>
              </w:rPr>
            </w:pPr>
            <w:r w:rsidDel="00000000" w:rsidR="00000000" w:rsidRPr="00000000">
              <w:rPr>
                <w:i w:val="0"/>
                <w:iCs w:val="0"/>
                <w:sz w:val="18"/>
                <w:szCs w:val="18"/>
                <w:rtl w:val="0"/>
              </w:rPr>
              <w:t xml:space="preserve">8</w:t>
            </w:r>
            <w:r w:rsidDel="00000000" w:rsidR="00000000" w:rsidRPr="00000000">
              <w:rPr>
                <w:rtl w:val="0"/>
              </w:rPr>
            </w:r>
          </w:p>
        </w:tc>
        <w:tc>
          <w:tcPr/>
          <w:p w:rsidR="00000000" w:rsidDel="00000000" w:rsidP="00000000" w:rsidRDefault="00000000" w:rsidRPr="00000000" w14:paraId="00000142">
            <w:pPr>
              <w:spacing w:after="0" w:before="0" w:line="480" w:lineRule="auto"/>
              <w:rPr>
                <w:sz w:val="18"/>
                <w:szCs w:val="18"/>
              </w:rPr>
            </w:pPr>
            <w:r w:rsidDel="00000000" w:rsidR="00000000" w:rsidRPr="00000000">
              <w:rPr>
                <w:sz w:val="18"/>
                <w:szCs w:val="18"/>
                <w:rtl w:val="0"/>
              </w:rPr>
              <w:t xml:space="preserve">0.63</w:t>
            </w:r>
          </w:p>
        </w:tc>
      </w:tr>
      <w:tr>
        <w:trPr>
          <w:cantSplit w:val="1"/>
          <w:tblHeader w:val="0"/>
        </w:trPr>
        <w:tc>
          <w:tcPr/>
          <w:p w:rsidR="00000000" w:rsidDel="00000000" w:rsidP="00000000" w:rsidRDefault="00000000" w:rsidRPr="00000000" w14:paraId="00000143">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44">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5">
            <w:pPr>
              <w:spacing w:after="0" w:before="0" w:line="480" w:lineRule="auto"/>
              <w:rPr>
                <w:sz w:val="18"/>
                <w:szCs w:val="18"/>
              </w:rPr>
            </w:pPr>
            <w:r w:rsidDel="00000000" w:rsidR="00000000" w:rsidRPr="00000000">
              <w:rPr>
                <w:i w:val="0"/>
                <w:iCs w:val="0"/>
                <w:sz w:val="18"/>
                <w:szCs w:val="18"/>
                <w:rtl w:val="0"/>
              </w:rPr>
              <w:t xml:space="preserve">4,509</w:t>
            </w:r>
            <w:r w:rsidDel="00000000" w:rsidR="00000000" w:rsidRPr="00000000">
              <w:rPr>
                <w:rtl w:val="0"/>
              </w:rPr>
            </w:r>
          </w:p>
        </w:tc>
        <w:tc>
          <w:tcPr/>
          <w:p w:rsidR="00000000" w:rsidDel="00000000" w:rsidP="00000000" w:rsidRDefault="00000000" w:rsidRPr="00000000" w14:paraId="00000146">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c>
          <w:tcPr/>
          <w:p w:rsidR="00000000" w:rsidDel="00000000" w:rsidP="00000000" w:rsidRDefault="00000000" w:rsidRPr="00000000" w14:paraId="00000147">
            <w:pPr>
              <w:spacing w:after="0" w:before="0" w:line="480" w:lineRule="auto"/>
              <w:rPr>
                <w:sz w:val="18"/>
                <w:szCs w:val="18"/>
              </w:rPr>
            </w:pPr>
            <w:r w:rsidDel="00000000" w:rsidR="00000000" w:rsidRPr="00000000">
              <w:rPr>
                <w:i w:val="0"/>
                <w:iCs w:val="0"/>
                <w:sz w:val="18"/>
                <w:szCs w:val="18"/>
                <w:rtl w:val="0"/>
              </w:rPr>
              <w:t xml:space="preserve">3</w:t>
            </w:r>
            <w:r w:rsidDel="00000000" w:rsidR="00000000" w:rsidRPr="00000000">
              <w:rPr>
                <w:sz w:val="18"/>
                <w:szCs w:val="18"/>
                <w:rtl w:val="0"/>
              </w:rPr>
              <w:t xml:space="preserve">4</w:t>
            </w:r>
          </w:p>
        </w:tc>
        <w:tc>
          <w:tcPr/>
          <w:p w:rsidR="00000000" w:rsidDel="00000000" w:rsidP="00000000" w:rsidRDefault="00000000" w:rsidRPr="00000000" w14:paraId="00000148">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49">
            <w:pPr>
              <w:spacing w:after="0" w:before="0" w:line="480" w:lineRule="auto"/>
              <w:rPr>
                <w:sz w:val="18"/>
                <w:szCs w:val="18"/>
              </w:rPr>
            </w:pPr>
            <w:r w:rsidDel="00000000" w:rsidR="00000000" w:rsidRPr="00000000">
              <w:rPr>
                <w:i w:val="0"/>
                <w:iCs w:val="0"/>
                <w:sz w:val="18"/>
                <w:szCs w:val="18"/>
                <w:rtl w:val="0"/>
              </w:rPr>
              <w:t xml:space="preserve">5</w:t>
            </w:r>
            <w:r w:rsidDel="00000000" w:rsidR="00000000" w:rsidRPr="00000000">
              <w:rPr>
                <w:rtl w:val="0"/>
              </w:rPr>
            </w:r>
          </w:p>
        </w:tc>
        <w:tc>
          <w:tcPr/>
          <w:p w:rsidR="00000000" w:rsidDel="00000000" w:rsidP="00000000" w:rsidRDefault="00000000" w:rsidRPr="00000000" w14:paraId="0000014A">
            <w:pPr>
              <w:spacing w:after="0" w:before="0" w:line="480" w:lineRule="auto"/>
              <w:rPr>
                <w:sz w:val="18"/>
                <w:szCs w:val="18"/>
              </w:rPr>
            </w:pPr>
            <w:r w:rsidDel="00000000" w:rsidR="00000000" w:rsidRPr="00000000">
              <w:rPr>
                <w:i w:val="0"/>
                <w:iCs w:val="0"/>
                <w:sz w:val="18"/>
                <w:szCs w:val="18"/>
                <w:rtl w:val="0"/>
              </w:rPr>
              <w:t xml:space="preserve">0.62</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4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D">
            <w:pPr>
              <w:spacing w:after="0" w:before="0" w:line="480" w:lineRule="auto"/>
              <w:rPr>
                <w:sz w:val="18"/>
                <w:szCs w:val="18"/>
              </w:rPr>
            </w:pPr>
            <w:r w:rsidDel="00000000" w:rsidR="00000000" w:rsidRPr="00000000">
              <w:rPr>
                <w:i w:val="0"/>
                <w:iCs w:val="0"/>
                <w:sz w:val="18"/>
                <w:szCs w:val="18"/>
                <w:rtl w:val="0"/>
              </w:rPr>
              <w:t xml:space="preserve">5,060</w:t>
            </w:r>
            <w:r w:rsidDel="00000000" w:rsidR="00000000" w:rsidRPr="00000000">
              <w:rPr>
                <w:rtl w:val="0"/>
              </w:rPr>
            </w:r>
          </w:p>
        </w:tc>
        <w:tc>
          <w:tcPr/>
          <w:p w:rsidR="00000000" w:rsidDel="00000000" w:rsidP="00000000" w:rsidRDefault="00000000" w:rsidRPr="00000000" w14:paraId="0000014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p w:rsidR="00000000" w:rsidDel="00000000" w:rsidP="00000000" w:rsidRDefault="00000000" w:rsidRPr="00000000" w14:paraId="0000014F">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sz w:val="18"/>
                <w:szCs w:val="18"/>
                <w:rtl w:val="0"/>
              </w:rPr>
              <w:t xml:space="preserve">4</w:t>
            </w:r>
          </w:p>
        </w:tc>
        <w:tc>
          <w:tcPr/>
          <w:p w:rsidR="00000000" w:rsidDel="00000000" w:rsidP="00000000" w:rsidRDefault="00000000" w:rsidRPr="00000000" w14:paraId="00000150">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51">
            <w:pPr>
              <w:spacing w:after="0" w:before="0" w:line="480" w:lineRule="auto"/>
              <w:rPr>
                <w:sz w:val="18"/>
                <w:szCs w:val="18"/>
              </w:rPr>
            </w:pPr>
            <w:r w:rsidDel="00000000" w:rsidR="00000000" w:rsidRPr="00000000">
              <w:rPr>
                <w:i w:val="0"/>
                <w:iCs w:val="0"/>
                <w:sz w:val="18"/>
                <w:szCs w:val="18"/>
                <w:rtl w:val="0"/>
              </w:rPr>
              <w:t xml:space="preserve">12</w:t>
            </w:r>
            <w:r w:rsidDel="00000000" w:rsidR="00000000" w:rsidRPr="00000000">
              <w:rPr>
                <w:rtl w:val="0"/>
              </w:rPr>
            </w:r>
          </w:p>
        </w:tc>
        <w:tc>
          <w:tcPr/>
          <w:p w:rsidR="00000000" w:rsidDel="00000000" w:rsidP="00000000" w:rsidRDefault="00000000" w:rsidRPr="00000000" w14:paraId="00000152">
            <w:pPr>
              <w:spacing w:after="0" w:before="0" w:line="480" w:lineRule="auto"/>
              <w:rPr>
                <w:sz w:val="18"/>
                <w:szCs w:val="18"/>
              </w:rPr>
            </w:pPr>
            <w:r w:rsidDel="00000000" w:rsidR="00000000" w:rsidRPr="00000000">
              <w:rPr>
                <w:i w:val="0"/>
                <w:iCs w:val="0"/>
                <w:sz w:val="18"/>
                <w:szCs w:val="18"/>
                <w:rtl w:val="0"/>
              </w:rPr>
              <w:t xml:space="preserve">0.20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53">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54">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c>
          <w:tcPr>
            <w:tcBorders>
              <w:bottom w:color="000000" w:space="0" w:sz="18" w:val="single"/>
            </w:tcBorders>
          </w:tcPr>
          <w:p w:rsidR="00000000" w:rsidDel="00000000" w:rsidP="00000000" w:rsidRDefault="00000000" w:rsidRPr="00000000" w14:paraId="00000155">
            <w:pPr>
              <w:spacing w:after="0" w:before="0" w:line="480" w:lineRule="auto"/>
              <w:rPr>
                <w:sz w:val="18"/>
                <w:szCs w:val="18"/>
              </w:rPr>
            </w:pPr>
            <w:r w:rsidDel="00000000" w:rsidR="00000000" w:rsidRPr="00000000">
              <w:rPr>
                <w:i w:val="0"/>
                <w:iCs w:val="0"/>
                <w:sz w:val="18"/>
                <w:szCs w:val="18"/>
                <w:rtl w:val="0"/>
              </w:rPr>
              <w:t xml:space="preserve">13,869</w:t>
            </w:r>
            <w:r w:rsidDel="00000000" w:rsidR="00000000" w:rsidRPr="00000000">
              <w:rPr>
                <w:rtl w:val="0"/>
              </w:rPr>
            </w:r>
          </w:p>
        </w:tc>
        <w:tc>
          <w:tcPr>
            <w:tcBorders>
              <w:bottom w:color="000000" w:space="0" w:sz="18" w:val="single"/>
            </w:tcBorders>
          </w:tcPr>
          <w:p w:rsidR="00000000" w:rsidDel="00000000" w:rsidP="00000000" w:rsidRDefault="00000000" w:rsidRPr="00000000" w14:paraId="00000156">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7">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8">
            <w:pPr>
              <w:spacing w:after="0" w:before="0" w:line="480" w:lineRule="auto"/>
              <w:rPr>
                <w:sz w:val="18"/>
                <w:szCs w:val="18"/>
              </w:rPr>
            </w:pPr>
            <w:r w:rsidDel="00000000" w:rsidR="00000000" w:rsidRPr="00000000">
              <w:rPr>
                <w:i w:val="0"/>
                <w:iCs w:val="0"/>
                <w:sz w:val="18"/>
                <w:szCs w:val="18"/>
                <w:rtl w:val="0"/>
              </w:rPr>
              <w:t xml:space="preserve">14</w:t>
            </w:r>
            <w:r w:rsidDel="00000000" w:rsidR="00000000" w:rsidRPr="00000000">
              <w:rPr>
                <w:rtl w:val="0"/>
              </w:rPr>
            </w:r>
          </w:p>
        </w:tc>
        <w:tc>
          <w:tcPr>
            <w:tcBorders>
              <w:bottom w:color="000000" w:space="0" w:sz="18" w:val="single"/>
            </w:tcBorders>
          </w:tcPr>
          <w:p w:rsidR="00000000" w:rsidDel="00000000" w:rsidP="00000000" w:rsidRDefault="00000000" w:rsidRPr="00000000" w14:paraId="00000159">
            <w:pPr>
              <w:spacing w:after="0" w:before="0" w:line="480" w:lineRule="auto"/>
              <w:rPr>
                <w:sz w:val="18"/>
                <w:szCs w:val="18"/>
              </w:rPr>
            </w:pPr>
            <w:r w:rsidDel="00000000" w:rsidR="00000000" w:rsidRPr="00000000">
              <w:rPr>
                <w:i w:val="0"/>
                <w:iCs w:val="0"/>
                <w:sz w:val="18"/>
                <w:szCs w:val="18"/>
                <w:rtl w:val="0"/>
              </w:rPr>
              <w:t xml:space="preserve">25</w:t>
            </w:r>
            <w:r w:rsidDel="00000000" w:rsidR="00000000" w:rsidRPr="00000000">
              <w:rPr>
                <w:rtl w:val="0"/>
              </w:rPr>
            </w:r>
          </w:p>
        </w:tc>
        <w:tc>
          <w:tcPr>
            <w:tcBorders>
              <w:bottom w:color="000000" w:space="0" w:sz="18" w:val="single"/>
            </w:tcBorders>
          </w:tcPr>
          <w:p w:rsidR="00000000" w:rsidDel="00000000" w:rsidP="00000000" w:rsidRDefault="00000000" w:rsidRPr="00000000" w14:paraId="0000015A">
            <w:pPr>
              <w:spacing w:after="0" w:before="0" w:line="480" w:lineRule="auto"/>
              <w:rPr>
                <w:sz w:val="18"/>
                <w:szCs w:val="18"/>
              </w:rPr>
            </w:pPr>
            <w:r w:rsidDel="00000000" w:rsidR="00000000" w:rsidRPr="00000000">
              <w:rPr>
                <w:sz w:val="18"/>
                <w:szCs w:val="18"/>
                <w:rtl w:val="0"/>
              </w:rPr>
              <w:t xml:space="preserve">0.47</w:t>
            </w:r>
          </w:p>
        </w:tc>
      </w:tr>
    </w:tbl>
    <w:p w:rsidR="00000000" w:rsidDel="00000000" w:rsidP="00000000" w:rsidRDefault="00000000" w:rsidRPr="00000000" w14:paraId="0000015B">
      <w:pPr>
        <w:spacing w:after="0" w:before="240" w:line="480" w:lineRule="auto"/>
        <w:ind w:firstLine="720"/>
        <w:jc w:val="both"/>
        <w:rPr/>
      </w:pPr>
      <w:r>
        <w:rPr>
          <w:rFonts w:ascii="Georgia" w:hAnsi="Georgia" w:eastAsia="Georgia" w:cs="Georgia"/>
          <w:b w:val="0"/>
          <w:sz w:val="22"/>
        </w:rPr>
        <w:t>Table 5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w:t>
      </w:r>
    </w:p>
    <w:p w:rsidR="00000000" w:rsidDel="00000000" w:rsidP="00000000" w:rsidRDefault="00000000" w:rsidRPr="00000000" w14:paraId="0000015C">
      <w:pPr>
        <w:spacing w:after="0" w:before="0" w:line="480" w:lineRule="auto"/>
        <w:ind w:firstLine="720"/>
        <w:jc w:val="both"/>
        <w:rPr/>
      </w:pPr>
      <w:r w:rsidDel="00000000" w:rsidR="00000000" w:rsidRPr="00000000">
        <w:rPr>
          <w:rtl w:val="0"/>
        </w:rPr>
        <w:t>The number of zero-hedge abstracts makes the same contrast clearer. Of the 60 abstracts, 25 contained zero hedge tokens. Veterinary Medicine accounted for 12 of these zero-hedge abstracts (12 of 20 VM abstracts), Biology for 5 (5 of 20), and Agriculture for 8 (8 of 20). The overrepresentation of Veterinary Medicine in the zero-hedge category is the primary driver of its low density.</w:t>
      </w:r>
    </w:p>
    <w:p w:rsidR="00000000" w:rsidDel="00000000" w:rsidP="00000000" w:rsidRDefault="00000000" w:rsidRPr="00000000" w14:paraId="0000015D">
      <w:pPr>
        <w:spacing w:after="0" w:before="0" w:line="480" w:lineRule="auto"/>
        <w:ind w:firstLine="720"/>
        <w:jc w:val="both"/>
        <w:rPr/>
      </w:pPr>
      <w:r w:rsidDel="00000000" w:rsidR="00000000" w:rsidRPr="00000000">
        <w:rPr>
          <w:rtl w:val="0"/>
        </w:rPr>
        <w:t>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Abstracts within a program may share advisers, so observations are not fully independent, and within-discipline spread remains larger than the gaps between means. Removing all 19 instances of “potential” leaves 46 hedges, and Veterinary Medicine’s zero-hedge share rises further. Low density in undergraduate and L2 academic writing is widely reported and is often read as limited stance control rather than as deliberate categorical style (Hyland &amp; Milton, 1997; Qiu et al., 2024). In this PSAU sample, the descriptive contrast is sharpest between Biology and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sidDel="00000000" w:rsidR="00000000" w:rsidRPr="00000000">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sidDel="00000000" w:rsidR="00000000" w:rsidRPr="00000000">
        <w:rPr>
          <w:rFonts w:ascii="Times New Roman" w:hAnsi="Times New Roman" w:cs="Times New Roman"/>
          <w:b w:val="0"/>
          <w:sz w:val="22"/>
          <w:rtl w:val="0"/>
        </w:rPr>
        <w:t>Veterinary Medicine's low density is more difficult to interpret. Many VM abstracts in this corpus reported clinical findings from animal studies (e.g., drug efficacy trials, disease detection, hematological profiling). Outcome-type coding later in this chapter tests the obvious explanation—that VM abstracts mostly report binary results—and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sidDel="00000000" w:rsidR="00000000" w:rsidRPr="00000000">
        <w:rPr>
          <w:rtl w:val="0"/>
        </w:rPr>
        <w:t xml:space="preserve">The false positive distribution also varies by discipline. Biology produced 34 false positives, far more than Agriculture (17) or Veterinary Medicine (14). This is partly because Biology abstracts contain more instances of “</w:t>
      </w:r>
      <w:r w:rsidDel="00000000" w:rsidR="00000000" w:rsidRPr="00000000">
        <w:rPr>
          <w:i w:val="1"/>
          <w:iCs w:val="1"/>
          <w:rtl w:val="0"/>
        </w:rPr>
        <w:t xml:space="preserve">potential</w:t>
      </w:r>
      <w:r w:rsidDel="00000000" w:rsidR="00000000" w:rsidRPr="00000000">
        <w:rPr>
          <w:rtl w:val="0"/>
        </w:rPr>
        <w:t xml:space="preserve">” in aim statements and “</w:t>
      </w:r>
      <w:r w:rsidDel="00000000" w:rsidR="00000000" w:rsidRPr="00000000">
        <w:rPr>
          <w:i w:val="1"/>
          <w:iCs w:val="1"/>
          <w:rtl w:val="0"/>
        </w:rPr>
        <w:t xml:space="preserve">indicated by</w:t>
      </w:r>
      <w:r w:rsidDel="00000000" w:rsidR="00000000" w:rsidRPr="00000000">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sidDel="00000000" w:rsidR="00000000" w:rsidRPr="00000000">
        <w:rPr>
          <w:b w:val="1"/>
          <w:b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62">
      <w:pPr>
        <w:spacing w:after="0" w:before="0" w:line="480" w:lineRule="auto"/>
        <w:ind w:firstLine="720"/>
        <w:jc w:val="both"/>
        <w:rPr/>
      </w:pPr>
      <w:r>
        <w:rPr>
          <w:rFonts w:ascii="Georgia" w:hAnsi="Georgia" w:eastAsia="Georgia" w:cs="Georgia"/>
          <w:b w:val="0"/>
          <w:sz w:val="22"/>
        </w:rPr>
        <w:t>Table 6 summarizes Step 2 outcomes for the coding pool. Of the retained hedges, all 65 were coded as epistemic caution. Politeness/deference is null (0). False positives totaled 65. Those 65 failed the claim condition or both removal checks. The direct comparison is therefore epistemic caution = 65, politeness/deference = 0, false positives = 65.</w:t>
      </w:r>
    </w:p>
    <w:p w:rsidR="00000000" w:rsidDel="00000000" w:rsidP="00000000" w:rsidRDefault="00000000" w:rsidRPr="00000000" w14:paraId="00000163">
      <w:pPr>
        <w:keepNext w:val="1"/>
        <w:spacing w:after="0" w:before="720" w:line="480" w:lineRule="auto"/>
        <w:ind w:firstLine="0"/>
        <w:jc w:val="center"/>
        <w:rPr/>
      </w:pPr>
      <w:r>
        <w:rPr>
          <w:rFonts w:ascii="Georgia" w:hAnsi="Georgia" w:eastAsia="Georgia" w:cs="Georgia"/>
          <w:b w:val="0"/>
          <w:sz w:val="22"/>
        </w:rPr>
        <w:t>Table 6</w:t>
      </w:r>
    </w:p>
    <w:p w:rsidR="00000000" w:rsidDel="00000000" w:rsidP="00000000" w:rsidRDefault="00000000" w:rsidRPr="00000000" w14:paraId="00000164">
      <w:pPr>
        <w:keepNext w:val="1"/>
        <w:spacing w:after="60" w:before="0" w:line="480" w:lineRule="auto"/>
        <w:jc w:val="center"/>
        <w:rPr/>
      </w:pPr>
      <w:r w:rsidDel="00000000" w:rsidR="00000000" w:rsidRPr="00000000">
        <w:rPr>
          <w:rtl w:val="0"/>
        </w:rPr>
        <w:t>Step 2 Outcomes: Epistemic Caution, Politeness/Deference, and False Positives (Candidate Pool)</w:t>
      </w:r>
    </w:p>
    <w:tbl>
      <w:tblPr>
        <w:tblStyle w:val="Table6"/>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65">
            <w:pPr>
              <w:spacing w:after="0" w:before="0" w:line="480" w:lineRule="auto"/>
              <w:rPr>
                <w:sz w:val="18"/>
                <w:szCs w:val="18"/>
              </w:rPr>
            </w:pPr>
            <w:r w:rsidDel="00000000" w:rsidR="00000000" w:rsidRPr="00000000">
              <w:rPr>
                <w:b w:val="1"/>
                <w:bCs w:val="1"/>
                <w:i w:val="0"/>
                <w:iCs w:val="0"/>
                <w:sz w:val="18"/>
                <w:szCs w:val="18"/>
                <w:rtl w:val="0"/>
              </w:rPr>
              <w:t xml:space="preserve">Step 2 outcome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6">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7">
            <w:pPr>
              <w:spacing w:after="0" w:before="0" w:line="480" w:lineRule="auto"/>
              <w:rPr>
                <w:sz w:val="18"/>
                <w:szCs w:val="18"/>
              </w:rPr>
            </w:pPr>
            <w:r w:rsidDel="00000000" w:rsidR="00000000" w:rsidRPr="00000000">
              <w:rPr>
                <w:b w:val="1"/>
                <w:bCs w:val="1"/>
                <w:i w:val="0"/>
                <w:iCs w:val="0"/>
                <w:sz w:val="18"/>
                <w:szCs w:val="18"/>
                <w:rtl w:val="0"/>
              </w:rPr>
              <w:t xml:space="preserve">Note</w:t>
            </w:r>
            <w:r w:rsidDel="00000000" w:rsidR="00000000" w:rsidRPr="00000000">
              <w:rPr>
                <w:rtl w:val="0"/>
              </w:rPr>
            </w:r>
          </w:p>
        </w:tc>
      </w:tr>
      <w:tr>
        <w:trPr>
          <w:cantSplit w:val="1"/>
          <w:tblHeader w:val="0"/>
        </w:trPr>
        <w:tc>
          <w:tcPr/>
          <w:p w:rsidR="00000000" w:rsidDel="00000000" w:rsidP="00000000" w:rsidRDefault="00000000" w:rsidRPr="00000000" w14:paraId="00000168">
            <w:pPr>
              <w:spacing w:after="0" w:before="0" w:line="480" w:lineRule="auto"/>
              <w:rPr>
                <w:sz w:val="18"/>
                <w:szCs w:val="18"/>
              </w:rPr>
            </w:pPr>
            <w:r w:rsidDel="00000000" w:rsidR="00000000" w:rsidRPr="00000000">
              <w:rPr>
                <w:sz w:val="18"/>
                <w:szCs w:val="18"/>
                <w:rtl w:val="0"/>
              </w:rPr>
              <w:t>Epistemic caution , retained</w:t>
            </w:r>
          </w:p>
        </w:tc>
        <w:tc>
          <w:tcPr/>
          <w:p w:rsidR="00000000" w:rsidDel="00000000" w:rsidP="00000000" w:rsidRDefault="00000000" w:rsidRPr="00000000" w14:paraId="00000169">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6A">
            <w:pPr>
              <w:spacing w:after="0" w:before="0" w:line="480" w:lineRule="auto"/>
              <w:rPr>
                <w:sz w:val="18"/>
                <w:szCs w:val="18"/>
              </w:rPr>
            </w:pPr>
            <w:r w:rsidDel="00000000" w:rsidR="00000000" w:rsidRPr="00000000">
              <w:rPr>
                <w:i w:val="0"/>
                <w:iCs w:val="0"/>
                <w:sz w:val="18"/>
                <w:szCs w:val="18"/>
                <w:rtl w:val="0"/>
              </w:rPr>
              <w:t xml:space="preserve">Passed Working Test</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0" w:before="0" w:line="480" w:lineRule="auto"/>
              <w:rPr>
                <w:sz w:val="18"/>
                <w:szCs w:val="18"/>
              </w:rPr>
            </w:pPr>
            <w:r w:rsidDel="00000000" w:rsidR="00000000" w:rsidRPr="00000000">
              <w:rPr>
                <w:sz w:val="18"/>
                <w:szCs w:val="18"/>
                <w:rtl w:val="0"/>
              </w:rPr>
              <w:t>Politeness/deference , retained</w:t>
            </w:r>
          </w:p>
        </w:tc>
        <w:tc>
          <w:tcPr/>
          <w:p w:rsidR="00000000" w:rsidDel="00000000" w:rsidP="00000000" w:rsidRDefault="00000000" w:rsidRPr="00000000" w14:paraId="0000016C">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6D">
            <w:pPr>
              <w:spacing w:after="0" w:before="0" w:line="480" w:lineRule="auto"/>
              <w:rPr>
                <w:sz w:val="18"/>
                <w:szCs w:val="18"/>
              </w:rPr>
            </w:pPr>
            <w:r w:rsidDel="00000000" w:rsidR="00000000" w:rsidRPr="00000000">
              <w:rPr>
                <w:i w:val="0"/>
                <w:iCs w:val="0"/>
                <w:sz w:val="18"/>
                <w:szCs w:val="18"/>
                <w:rtl w:val="0"/>
              </w:rPr>
              <w:t xml:space="preserve">Null in this sample</w:t>
            </w:r>
            <w:r w:rsidDel="00000000" w:rsidR="00000000" w:rsidRPr="00000000">
              <w:rPr>
                <w:rtl w:val="0"/>
              </w:rPr>
            </w:r>
          </w:p>
        </w:tc>
      </w:tr>
      <w:tr>
        <w:trPr>
          <w:cantSplit w:val="1"/>
          <w:tblHeader w:val="0"/>
        </w:trPr>
        <w:tc>
          <w:tcPr/>
          <w:p w:rsidR="00000000" w:rsidDel="00000000" w:rsidP="00000000" w:rsidRDefault="00000000" w:rsidRPr="00000000" w14:paraId="0000016E">
            <w:pPr>
              <w:spacing w:after="0" w:before="0" w:line="480" w:lineRule="auto"/>
              <w:rPr>
                <w:sz w:val="18"/>
                <w:szCs w:val="18"/>
              </w:rPr>
            </w:pPr>
            <w:r w:rsidDel="00000000" w:rsidR="00000000" w:rsidRPr="00000000">
              <w:rPr>
                <w:i w:val="0"/>
                <w:iCs w:val="0"/>
                <w:sz w:val="18"/>
                <w:szCs w:val="18"/>
                <w:rtl w:val="0"/>
              </w:rPr>
              <w:t>False positive</w:t>
            </w:r>
          </w:p>
        </w:tc>
        <w:tc>
          <w:tcPr/>
          <w:p w:rsidR="00000000" w:rsidDel="00000000" w:rsidP="00000000" w:rsidRDefault="00000000" w:rsidRPr="00000000" w14:paraId="0000016F">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70">
            <w:pPr>
              <w:spacing w:after="0" w:before="0" w:line="480" w:lineRule="auto"/>
              <w:rPr>
                <w:sz w:val="18"/>
                <w:szCs w:val="18"/>
              </w:rPr>
            </w:pPr>
            <w:r w:rsidDel="00000000" w:rsidR="00000000" w:rsidRPr="00000000">
              <w:rPr>
                <w:sz w:val="18"/>
                <w:szCs w:val="18"/>
                <w:rtl w:val="0"/>
              </w:rPr>
              <w:t xml:space="preserve">Not retained, not a function</w:t>
            </w:r>
          </w:p>
        </w:tc>
      </w:tr>
      <w:tr>
        <w:trPr>
          <w:cantSplit w:val="1"/>
          <w:tblHeader w:val="0"/>
        </w:trPr>
        <w:tc>
          <w:tcPr>
            <w:tcBorders>
              <w:bottom w:color="000000" w:space="0" w:sz="18" w:val="single"/>
            </w:tcBorders>
          </w:tcPr>
          <w:p w:rsidR="00000000" w:rsidDel="00000000" w:rsidP="00000000" w:rsidRDefault="00000000" w:rsidRPr="00000000" w14:paraId="00000171">
            <w:pPr>
              <w:spacing w:after="0" w:before="0" w:line="480" w:lineRule="auto"/>
              <w:rPr>
                <w:sz w:val="18"/>
                <w:szCs w:val="18"/>
              </w:rPr>
            </w:pPr>
            <w:r w:rsidDel="00000000" w:rsidR="00000000" w:rsidRPr="00000000">
              <w:rPr>
                <w:i w:val="0"/>
                <w:iCs w:val="0"/>
                <w:sz w:val="18"/>
                <w:szCs w:val="18"/>
                <w:rtl w:val="0"/>
              </w:rPr>
              <w:t xml:space="preserve">Total candidate decisions</w:t>
            </w:r>
            <w:r w:rsidDel="00000000" w:rsidR="00000000" w:rsidRPr="00000000">
              <w:rPr>
                <w:rtl w:val="0"/>
              </w:rPr>
            </w:r>
          </w:p>
        </w:tc>
        <w:tc>
          <w:tcPr>
            <w:tcBorders>
              <w:bottom w:color="000000" w:space="0" w:sz="18" w:val="single"/>
            </w:tcBorders>
          </w:tcPr>
          <w:p w:rsidR="00000000" w:rsidDel="00000000" w:rsidP="00000000" w:rsidRDefault="00000000" w:rsidRPr="00000000" w14:paraId="00000172">
            <w:pPr>
              <w:spacing w:after="0" w:before="0" w:line="480" w:lineRule="auto"/>
              <w:rPr>
                <w:sz w:val="18"/>
                <w:szCs w:val="18"/>
              </w:rPr>
            </w:pPr>
            <w:r w:rsidDel="00000000" w:rsidR="00000000" w:rsidRPr="00000000">
              <w:rPr>
                <w:sz w:val="18"/>
                <w:szCs w:val="18"/>
                <w:rtl w:val="0"/>
              </w:rPr>
              <w:t xml:space="preserve">130</w:t>
            </w:r>
          </w:p>
        </w:tc>
        <w:tc>
          <w:tcPr>
            <w:tcBorders>
              <w:bottom w:color="000000" w:space="0" w:sz="18" w:val="single"/>
            </w:tcBorders>
          </w:tcPr>
          <w:p w:rsidR="00000000" w:rsidDel="00000000" w:rsidP="00000000" w:rsidRDefault="00000000" w:rsidRPr="00000000" w14:paraId="00000173">
            <w:pPr>
              <w:spacing w:after="0" w:before="0" w:line="480" w:lineRule="auto"/>
              <w:rPr>
                <w:sz w:val="18"/>
                <w:szCs w:val="18"/>
              </w:rPr>
            </w:pPr>
            <w:r w:rsidDel="00000000" w:rsidR="00000000" w:rsidRPr="00000000">
              <w:rPr>
                <w:sz w:val="18"/>
                <w:szCs w:val="18"/>
                <w:rtl w:val="0"/>
              </w:rPr>
              <w:t>Logged candidates only (65 retained + 65 false positive), not a second hedge count</w:t>
            </w:r>
          </w:p>
        </w:tc>
      </w:tr>
    </w:tbl>
    <w:p w:rsidR="00000000" w:rsidDel="00000000" w:rsidP="00000000" w:rsidRDefault="00000000" w:rsidRPr="00000000" w14:paraId="00000174">
      <w:pPr>
        <w:spacing w:after="0" w:before="240" w:line="480" w:lineRule="auto"/>
        <w:ind w:firstLine="720"/>
        <w:jc w:val="both"/>
        <w:rPr/>
      </w:pPr>
      <w:r w:rsidDel="00000000" w:rsidR="00000000" w:rsidRPr="00000000">
        <w:rPr>
          <w:rtl w:val="0"/>
        </w:rPr>
        <w:t>No retained hedge was independently labeled politeness/deference.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The zero count for politeness/deference is the distribution of retained functions under that scheme: every claim-attached candidate was tested, and none passed as politeness/deference. Softened recommendations, where interpersonal softening is most likely, were logged as false positives (15 tokens) and never reached the Reader Test, so a scheme that counted them could return a different politeness/deference total. The result answers the function question as a split within the definition adopted here (stance change toward a proposition), not as evidence about politeness in abstracts generally. An all–epistemic caution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sidDel="00000000" w:rsidR="00000000" w:rsidRPr="00000000">
        <w:rPr>
          <w:rtl w:val="0"/>
        </w:rPr>
        <w:t>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epistemic caution) almost exclusively marked possibility about results or implications, while Lexical hedges (42 instances, all epistemic caution) qualified the strength of findings or implications.</w:t>
      </w:r>
    </w:p>
    <w:p w:rsidR="00000000" w:rsidDel="00000000" w:rsidP="00000000" w:rsidRDefault="00000000" w:rsidRPr="00000000" w14:paraId="00000176">
      <w:pPr>
        <w:spacing w:after="0" w:before="0" w:line="480" w:lineRule="auto"/>
        <w:ind w:firstLine="720"/>
        <w:jc w:val="both"/>
        <w:rPr/>
      </w:pPr>
      <w:r w:rsidDel="00000000" w:rsidR="00000000" w:rsidRPr="00000000">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sidDel="00000000" w:rsidR="00000000" w:rsidRPr="00000000">
        <w:rPr>
          <w:b w:val="1"/>
          <w:b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178">
      <w:pPr>
        <w:spacing w:after="0" w:before="0" w:line="480" w:lineRule="auto"/>
        <w:ind w:firstLine="720"/>
        <w:jc w:val="both"/>
        <w:rPr/>
      </w:pPr>
      <w:r w:rsidDel="00000000" w:rsidR="00000000" w:rsidRPr="00000000">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ind w:firstLine="0"/>
        <w:jc w:val="center"/>
        <w:rPr/>
      </w:pPr>
      <w:r>
        <w:rPr>
          <w:rFonts w:ascii="Georgia" w:hAnsi="Georgia" w:eastAsia="Georgia" w:cs="Georgia"/>
          <w:b w:val="0"/>
          <w:sz w:val="22"/>
        </w:rPr>
        <w:t>Table 7</w:t>
      </w:r>
    </w:p>
    <w:p w:rsidR="00000000" w:rsidDel="00000000" w:rsidP="00000000" w:rsidRDefault="00000000" w:rsidRPr="00000000" w14:paraId="0000017A">
      <w:pPr>
        <w:keepNext w:val="1"/>
        <w:spacing w:after="60" w:before="0" w:line="480" w:lineRule="auto"/>
        <w:jc w:val="center"/>
        <w:rPr/>
      </w:pPr>
      <w:r w:rsidDel="00000000" w:rsidR="00000000" w:rsidRPr="00000000">
        <w:rPr>
          <w:rtl w:val="0"/>
        </w:rPr>
        <w:t xml:space="preserve">Outcome Type by Discipline</w:t>
      </w:r>
    </w:p>
    <w:tbl>
      <w:tblPr>
        <w:tblStyle w:val="Table7"/>
        <w:tblW w:w="8305.0" w:type="dxa"/>
        <w:jc w:val="left"/>
        <w:tblInd w:w="-223.0" w:type="dxa"/>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7B">
            <w:pPr>
              <w:spacing w:after="0" w:before="0" w:line="480" w:lineRule="auto"/>
              <w:rPr>
                <w:sz w:val="18"/>
                <w:szCs w:val="18"/>
              </w:rPr>
            </w:pPr>
            <w:r w:rsidDel="00000000" w:rsidR="00000000" w:rsidRPr="00000000">
              <w:rPr>
                <w:b w:val="1"/>
                <w:bCs w:val="1"/>
                <w:sz w:val="18"/>
                <w:szCs w:val="18"/>
                <w:rtl w:val="0"/>
              </w:rPr>
              <w:t xml:space="preserve">Outcome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C">
            <w:pPr>
              <w:spacing w:after="0" w:before="0" w:line="480" w:lineRule="auto"/>
              <w:rPr>
                <w:sz w:val="18"/>
                <w:szCs w:val="18"/>
              </w:rPr>
            </w:pPr>
            <w:r w:rsidDel="00000000" w:rsidR="00000000" w:rsidRPr="00000000">
              <w:rPr>
                <w:b w:val="1"/>
                <w:bCs w:val="1"/>
                <w:sz w:val="18"/>
                <w:szCs w:val="18"/>
                <w:rtl w:val="0"/>
              </w:rPr>
              <w:t xml:space="preserve">Agriculture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D">
            <w:pPr>
              <w:spacing w:after="0" w:before="0" w:line="480" w:lineRule="auto"/>
              <w:rPr>
                <w:sz w:val="18"/>
                <w:szCs w:val="18"/>
              </w:rPr>
            </w:pPr>
            <w:r w:rsidDel="00000000" w:rsidR="00000000" w:rsidRPr="00000000">
              <w:rPr>
                <w:b w:val="1"/>
                <w:bCs w:val="1"/>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E">
            <w:pPr>
              <w:spacing w:after="0" w:before="0" w:line="480" w:lineRule="auto"/>
              <w:rPr>
                <w:sz w:val="18"/>
                <w:szCs w:val="18"/>
              </w:rPr>
            </w:pPr>
            <w:r w:rsidDel="00000000" w:rsidR="00000000" w:rsidRPr="00000000">
              <w:rPr>
                <w:b w:val="1"/>
                <w:bCs w:val="1"/>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F">
            <w:pPr>
              <w:spacing w:after="0" w:before="0" w:line="480" w:lineRule="auto"/>
              <w:rPr>
                <w:sz w:val="18"/>
                <w:szCs w:val="18"/>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sidDel="00000000" w:rsidR="00000000" w:rsidRPr="00000000">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sidDel="00000000" w:rsidR="00000000" w:rsidRPr="00000000">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sidDel="00000000" w:rsidR="00000000" w:rsidRPr="00000000">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sidDel="00000000" w:rsidR="00000000" w:rsidRPr="00000000">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sidDel="00000000" w:rsidR="00000000" w:rsidRPr="00000000">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sidDel="00000000" w:rsidR="00000000" w:rsidRPr="00000000">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sidDel="00000000" w:rsidR="00000000" w:rsidRPr="00000000">
              <w:rPr>
                <w:sz w:val="18"/>
                <w:szCs w:val="18"/>
                <w:rtl w:val="0"/>
              </w:rPr>
              <w:t xml:space="preserve">5</w:t>
            </w:r>
          </w:p>
        </w:tc>
      </w:tr>
      <w:tr>
        <w:trPr>
          <w:cantSplit w:val="1"/>
          <w:tblHeader w:val="0"/>
        </w:trPr>
        <w:tc>
          <w:tcPr>
            <w:tcBorders>
              <w:bottom w:color="000000" w:space="0" w:sz="18" w:val="single"/>
            </w:tcBorders>
          </w:tcPr>
          <w:p w:rsidR="00000000" w:rsidDel="00000000" w:rsidP="00000000" w:rsidRDefault="00000000" w:rsidRPr="00000000" w14:paraId="00000199">
            <w:pPr>
              <w:spacing w:after="0" w:before="0" w:line="480" w:lineRule="auto"/>
              <w:rPr>
                <w:sz w:val="18"/>
                <w:szCs w:val="18"/>
              </w:rPr>
            </w:pPr>
            <w:r w:rsidDel="00000000" w:rsidR="00000000" w:rsidRPr="00000000">
              <w:rPr>
                <w:sz w:val="18"/>
                <w:szCs w:val="18"/>
                <w:rtl w:val="0"/>
              </w:rPr>
              <w:t xml:space="preserve">Total</w:t>
            </w:r>
          </w:p>
        </w:tc>
        <w:tc>
          <w:tcPr>
            <w:tcBorders>
              <w:bottom w:color="000000" w:space="0" w:sz="18" w:val="single"/>
            </w:tcBorders>
          </w:tcPr>
          <w:p w:rsidR="00000000" w:rsidDel="00000000" w:rsidP="00000000" w:rsidRDefault="00000000" w:rsidRPr="00000000" w14:paraId="0000019A">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B">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C">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D">
            <w:pPr>
              <w:spacing w:after="0" w:before="0" w:line="480" w:lineRule="auto"/>
              <w:rPr>
                <w:sz w:val="18"/>
                <w:szCs w:val="18"/>
              </w:rPr>
            </w:pPr>
            <w:r w:rsidDel="00000000" w:rsidR="00000000" w:rsidRPr="00000000">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Pr>
          <w:rFonts w:ascii="Georgia" w:hAnsi="Georgia" w:eastAsia="Georgia" w:cs="Georgia"/>
          <w:b w:val="0"/>
          <w:sz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Pr>
          <w:rFonts w:ascii="Georgia" w:hAnsi="Georgia" w:eastAsia="Georgia" w:cs="Georgia"/>
          <w:b w:val="0"/>
          <w:sz w:val="22"/>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assertions were 4 in Veterinary Medicine, 4 in Biology, and 6 in Agriculture (Table 5),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sidDel="00000000" w:rsidR="00000000" w:rsidRPr="00000000">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sidDel="00000000" w:rsidR="00000000" w:rsidRPr="00000000">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sidDel="00000000" w:rsidR="00000000" w:rsidRPr="00000000">
        <w:rPr>
          <w:rtl w:val="0"/>
        </w:rPr>
        <w:t>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all–epistemic caution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480" w:lineRule="auto"/>
        <w:ind w:firstLine="0"/>
        <w:jc w:val="center"/>
        <w:rPr>
          <w:sz w:val="28"/>
          <w:szCs w:val="28"/>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1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A6">
      <w:pPr>
        <w:spacing w:after="0" w:before="0" w:line="480" w:lineRule="auto"/>
        <w:ind w:firstLine="720"/>
        <w:jc w:val="both"/>
        <w:rPr/>
      </w:pPr>
      <w:r w:rsidDel="00000000" w:rsidR="00000000" w:rsidRPr="00000000">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sidDel="00000000" w:rsidR="00000000" w:rsidRPr="00000000">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1A9">
      <w:pPr>
        <w:spacing w:after="0" w:before="0" w:line="480" w:lineRule="auto"/>
        <w:ind w:firstLine="720"/>
        <w:jc w:val="both"/>
        <w:rPr/>
      </w:pPr>
      <w:r w:rsidDel="00000000" w:rsidR="00000000" w:rsidRPr="00000000">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sidDel="00000000" w:rsidR="00000000" w:rsidRPr="00000000">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sidDel="00000000" w:rsidR="00000000" w:rsidRPr="00000000">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sidDel="00000000" w:rsidR="00000000" w:rsidRPr="00000000">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suggest</w:t>
      </w:r>
      <w:r w:rsidDel="00000000" w:rsidR="00000000" w:rsidRPr="00000000">
        <w:rPr>
          <w:rtl w:val="0"/>
        </w:rPr>
        <w:t>, with modal verbs as the other main resource. Instruction that assumes a full academic hedging repertoire will miss what this campus sample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sidDel="00000000" w:rsidR="00000000" w:rsidRPr="00000000">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sidDel="00000000" w:rsidR="00000000" w:rsidRPr="00000000">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2">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1B3">
      <w:pPr>
        <w:spacing w:after="0" w:before="0" w:line="480" w:lineRule="auto"/>
        <w:ind w:left="720" w:hanging="720"/>
        <w:jc w:val="both"/>
        <w:rPr/>
      </w:pPr>
      <w:r w:rsidDel="00000000" w:rsidR="00000000" w:rsidRPr="00000000">
        <w:rPr>
          <w:rtl w:val="0"/>
        </w:rPr>
        <w:t xml:space="preserve">Afshar, H. S., Moradi, M., &amp; Hamzavi, R. (2014). Frequency and type of hedging devices used in the research articles of humanities, basic sciences and agriculture. Procedia - Social and Behavioral Sciences, 136, 70-74. </w:t>
      </w:r>
      <w:hyperlink r:id="rId29">
        <w:r w:rsidDel="00000000" w:rsidR="00000000" w:rsidRPr="00000000">
          <w:rPr>
            <w:color w:val="1155cc"/>
            <w:u w:val="single"/>
            <w:rtl w:val="0"/>
          </w:rPr>
          <w:t xml:space="preserve">https://doi.org/10.1016/j.sbspro.2014.05.290</w:t>
        </w:r>
      </w:hyperlink>
      <w:r w:rsidDel="00000000" w:rsidR="00000000" w:rsidRPr="00000000">
        <w:rPr>
          <w:rtl w:val="0"/>
        </w:rPr>
      </w:r>
    </w:p>
    <w:p>
      <w:r>
        <w:t>Al-Zarieni, M. M., &amp; Alkhresheh, M. M. (2024). Hedges and boosters in the abstract sections of master thesis at Yarmouk University. International Journal of Linguistics, Literature and Translation, 7(1), 199–207. https://doi.org/10.32996/ijllt.2024.7.1.18</w:t>
      </w:r>
    </w:p>
    <w:p>
      <w:pPr>
        <w:spacing w:line="480" w:lineRule="auto"/>
        <w:ind w:left="720" w:hanging="720"/>
      </w:pPr>
      <w:r>
        <w:rPr>
          <w:rFonts w:ascii="Georgia" w:hAnsi="Georgia"/>
          <w:sz w:val="22"/>
        </w:rPr>
        <w:t>Bayraktar-Çepni, S., &amp; Kulaksız, E. (2022). A comparative study on the use of hedging devices across ELT MA and PhD theses. Futuristic Implementations of Research in Education (FIRE), 3(1), 58–66.</w:t>
      </w:r>
    </w:p>
    <w:p w:rsidR="00000000" w:rsidDel="00000000" w:rsidP="00000000" w:rsidRDefault="00000000" w:rsidRPr="00000000" w14:paraId="000001B4">
      <w:pPr>
        <w:spacing w:after="0" w:before="0" w:line="480" w:lineRule="auto"/>
        <w:ind w:left="720" w:hanging="720"/>
        <w:jc w:val="both"/>
        <w:rPr/>
      </w:pPr>
      <w:r w:rsidDel="00000000" w:rsidR="00000000" w:rsidRPr="00000000">
        <w:rPr>
          <w:rtl w:val="0"/>
        </w:rPr>
        <w:t xml:space="preserve">Biber, D., Conrad, S., &amp; Reppen, R. (1998). </w:t>
      </w:r>
      <w:r w:rsidDel="00000000" w:rsidR="00000000" w:rsidRPr="00000000">
        <w:rPr>
          <w:i w:val="1"/>
          <w:iCs w:val="1"/>
          <w:rtl w:val="0"/>
        </w:rPr>
        <w:t xml:space="preserve">Corpus linguistics: Investigating language structure and use</w:t>
      </w:r>
      <w:r w:rsidDel="00000000" w:rsidR="00000000" w:rsidRPr="00000000">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sidDel="00000000" w:rsidR="00000000" w:rsidRPr="00000000">
        <w:rPr>
          <w:rtl w:val="0"/>
        </w:rPr>
        <w:t xml:space="preserve">Crompton, P. (1997). Hedging in academic writing: Some theoretical problems. English for Specific Purposes, 16(4), 271-287. </w:t>
      </w:r>
      <w:hyperlink r:id="rId30">
        <w:r w:rsidDel="00000000" w:rsidR="00000000" w:rsidRPr="00000000">
          <w:rPr>
            <w:color w:val="1155cc"/>
            <w:u w:val="single"/>
            <w:rtl w:val="0"/>
          </w:rPr>
          <w:t xml:space="preserve">https://doi.org/10.1016/S0889-4906(97)00007-0</w:t>
        </w:r>
      </w:hyperlink>
      <w:r w:rsidDel="00000000" w:rsidR="00000000" w:rsidRPr="00000000">
        <w:rPr>
          <w:rtl w:val="0"/>
        </w:rPr>
      </w:r>
    </w:p>
    <w:p>
      <w:r>
        <w:t>Chafidha, L. N., &amp; Mujiyanto, J. (2021). The comparative study of hedges in theses' abstracts written by English and Indonesian graduate programs of Universitas Negeri Semarang. The Journal of Educational Development, 9(2), 91–100.</w:t>
      </w:r>
    </w:p>
    <w:p w:rsidR="00000000" w:rsidDel="00000000" w:rsidP="00000000" w:rsidRDefault="00000000" w:rsidRPr="00000000" w14:paraId="000001B6">
      <w:pPr>
        <w:spacing w:after="0" w:before="0" w:line="480" w:lineRule="auto"/>
        <w:ind w:left="720" w:hanging="720"/>
        <w:jc w:val="both"/>
        <w:rPr/>
      </w:pPr>
      <w:r w:rsidDel="00000000" w:rsidR="00000000" w:rsidRPr="00000000">
        <w:rPr>
          <w:rtl w:val="0"/>
        </w:rPr>
        <w:t xml:space="preserve">Demir, C. (2018). Hedging and academic writing: An analysis of lexical hedges. Journal of Language and Linguistic Studies, 14(4), 74-92. </w:t>
      </w:r>
      <w:hyperlink r:id="rId31">
        <w:r w:rsidDel="00000000" w:rsidR="00000000" w:rsidRPr="00000000">
          <w:rPr>
            <w:color w:val="1155cc"/>
            <w:u w:val="single"/>
            <w:rtl w:val="0"/>
          </w:rPr>
          <w:t xml:space="preserve">https://files.eric.ed.gov/fulltext/EJ1201945.pdf</w:t>
        </w:r>
      </w:hyperlink>
      <w:r w:rsidDel="00000000" w:rsidR="00000000" w:rsidRPr="00000000">
        <w:rPr>
          <w:rtl w:val="0"/>
        </w:rPr>
      </w:r>
    </w:p>
    <w:p>
      <w:r>
        <w:t>Demanou, G., &amp; Tabe, C. A. (2022). Disciplinary and move analyses of hedging in abstracts of DIPES II dissertations of the Higher Teachers' Training College of Maroua. International Journal of Applied Linguistics and English Literature, 11(4), 76–86. https://doi.org/10.7575/aiac.ijalel.v.11n.4p.76</w:t>
      </w:r>
    </w:p>
    <w:p>
      <w:r>
        <w:t>Doğan, Z. N., &amp; Akbaş, E. (2021). An exploratory study of epistemic stance in results and discussion sections of medical research articles. Atatürk Üniversitesi Sosyal Bilimler Enstitüsü Dergisi, 25(3), 1132–1150. https://doi.org/10.53487/ataunisosbil.951126</w:t>
      </w:r>
    </w:p>
    <w:p w:rsidR="00000000" w:rsidDel="00000000" w:rsidP="00000000" w:rsidRDefault="00000000" w:rsidRPr="00000000" w14:paraId="000001B7">
      <w:pPr>
        <w:spacing w:after="0" w:before="0" w:line="480" w:lineRule="auto"/>
        <w:ind w:left="720" w:hanging="720"/>
        <w:jc w:val="both"/>
        <w:rPr/>
      </w:pPr>
      <w:r w:rsidDel="00000000" w:rsidR="00000000" w:rsidRPr="00000000">
        <w:rPr>
          <w:rtl w:val="0"/>
        </w:rPr>
        <w:t xml:space="preserve">Escalona, S. L. (2025). Hedges and boosters in college essays: A study of linguistic modulation in student writing. International Journal of English Literature and Social Sciences, 10(1), 7-17. </w:t>
      </w:r>
      <w:hyperlink r:id="rId32">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1B8">
      <w:pPr>
        <w:spacing w:after="0" w:before="0" w:line="480" w:lineRule="auto"/>
        <w:ind w:left="720" w:hanging="720"/>
        <w:jc w:val="both"/>
        <w:rPr/>
      </w:pPr>
      <w:r w:rsidDel="00000000" w:rsidR="00000000" w:rsidRPr="00000000">
        <w:rPr>
          <w:rtl w:val="0"/>
        </w:rPr>
        <w:t xml:space="preserve">Ghia, E., Petrocelli, E., &amp; Pizziconi, S. (2022). Data possibly suggest… Hedging in second language writing: A study on advanced Italian EFL learners. Belgrade English Language and Literature Studies, 14, 47-72. </w:t>
      </w:r>
      <w:hyperlink r:id="rId33">
        <w:r w:rsidDel="00000000" w:rsidR="00000000" w:rsidRPr="00000000">
          <w:rPr>
            <w:color w:val="1155cc"/>
            <w:u w:val="single"/>
            <w:rtl w:val="0"/>
          </w:rPr>
          <w:t xml:space="preserve">https://doi.org/10.18485/bells.2022.14.2</w:t>
        </w:r>
      </w:hyperlink>
      <w:r w:rsidDel="00000000" w:rsidR="00000000" w:rsidRPr="00000000">
        <w:rPr>
          <w:rtl w:val="0"/>
        </w:rPr>
      </w:r>
    </w:p>
    <w:p>
      <w:pPr>
        <w:spacing w:line="480" w:lineRule="auto"/>
        <w:ind w:left="720" w:hanging="720"/>
        <w:jc w:val="left"/>
      </w:pPr>
      <w:r>
        <w:rPr>
          <w:rFonts w:ascii="Georgia" w:hAnsi="Georgia" w:eastAsia="Georgia"/>
          <w:sz w:val="22"/>
        </w:rPr>
        <w:t>Halabisaz, B., Pazhakh, A., &amp; Shakibafar, M. (2014). Hedging in thesis abstracts on applied linguistics across Persian and English. International Review of Social Sciences and Humanities, 7(1), 211–218. https://www.irssh.com/yahoo_site_admin/assets/docs/20_IRSSH-841-V7N1.131231112.pdf</w:t>
      </w:r>
    </w:p>
    <w:p w:rsidR="00000000" w:rsidDel="00000000" w:rsidP="00000000" w:rsidRDefault="00000000" w:rsidRPr="00000000" w14:paraId="000001B9">
      <w:pPr>
        <w:spacing w:after="0" w:before="0" w:line="480" w:lineRule="auto"/>
        <w:ind w:left="720" w:hanging="720"/>
        <w:jc w:val="both"/>
        <w:rPr/>
      </w:pPr>
      <w:r w:rsidDel="00000000" w:rsidR="00000000" w:rsidRPr="00000000">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sidDel="00000000" w:rsidR="00000000" w:rsidRPr="00000000">
        <w:rPr>
          <w:rtl w:val="0"/>
        </w:rPr>
        <w:t xml:space="preserve">Hamidi, H., Najafi Sarem, S., &amp; Lotfi, A. H. (2025). Exploring hedging devices in scientific research papers: A content analysis study of the Medical Journal of the Islamic Republic of Iran. </w:t>
      </w:r>
      <w:r w:rsidDel="00000000" w:rsidR="00000000" w:rsidRPr="00000000">
        <w:rPr>
          <w:i w:val="1"/>
          <w:iCs w:val="1"/>
          <w:rtl w:val="0"/>
        </w:rPr>
        <w:t xml:space="preserve">Medical Journal of the Islamic Republic of Iran, 39</w:t>
      </w:r>
      <w:r w:rsidDel="00000000" w:rsidR="00000000" w:rsidRPr="00000000">
        <w:rPr>
          <w:rtl w:val="0"/>
        </w:rPr>
        <w:t xml:space="preserve">, Article 125. </w:t>
      </w:r>
      <w:hyperlink r:id="rId34">
        <w:r w:rsidDel="00000000" w:rsidR="00000000" w:rsidRPr="00000000">
          <w:rPr>
            <w:color w:val="1155cc"/>
            <w:u w:val="single"/>
            <w:rtl w:val="0"/>
          </w:rPr>
          <w:t xml:space="preserve">https://pmc.ncbi.nlm.nih.gov/articles/PMC12584097/</w:t>
        </w:r>
      </w:hyperlink>
      <w:r w:rsidDel="00000000" w:rsidR="00000000" w:rsidRPr="00000000">
        <w:rPr>
          <w:rtl w:val="0"/>
        </w:rPr>
      </w:r>
    </w:p>
    <w:p>
      <w:pPr>
        <w:spacing w:line="480" w:lineRule="auto"/>
        <w:ind w:left="720" w:hanging="720"/>
      </w:pPr>
      <w:r>
        <w:rPr>
          <w:rFonts w:ascii="Georgia" w:hAnsi="Georgia"/>
          <w:sz w:val="22"/>
        </w:rPr>
        <w:t>Hinkel, E. (2005). Hedging, inflating, and persuading in L2 academic writing. Applied Language Learning, 15(1–2), 29–53.</w:t>
      </w:r>
    </w:p>
    <w:p w:rsidR="00000000" w:rsidDel="00000000" w:rsidP="00000000" w:rsidRDefault="00000000" w:rsidRPr="00000000" w14:paraId="000001BB">
      <w:pPr>
        <w:spacing w:after="0" w:before="0" w:line="480" w:lineRule="auto"/>
        <w:ind w:left="720" w:hanging="720"/>
        <w:jc w:val="both"/>
        <w:rPr/>
      </w:pPr>
      <w:r w:rsidDel="00000000" w:rsidR="00000000" w:rsidRPr="00000000">
        <w:rPr>
          <w:rtl w:val="0"/>
        </w:rPr>
        <w:t xml:space="preserve">Hu, G., &amp; Cao, F. (2011). Hedging and boosting in abstracts of applied linguistics articles: A comparative study of English- and Chinese-medium journals. Journal of Pragmatics, 43(11), 2795-2809. </w:t>
      </w:r>
      <w:hyperlink r:id="rId35">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1BC">
      <w:pPr>
        <w:spacing w:after="0" w:before="0" w:line="480" w:lineRule="auto"/>
        <w:ind w:left="720" w:hanging="720"/>
        <w:jc w:val="both"/>
        <w:rPr/>
      </w:pPr>
      <w:r w:rsidDel="00000000" w:rsidR="00000000" w:rsidRPr="00000000">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sidDel="00000000" w:rsidR="00000000" w:rsidRPr="00000000">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sidDel="00000000" w:rsidR="00000000" w:rsidRPr="00000000">
        <w:rPr>
          <w:rtl w:val="0"/>
        </w:rPr>
        <w:t xml:space="preserve">Hyland, K. (1998). </w:t>
      </w:r>
      <w:r w:rsidDel="00000000" w:rsidR="00000000" w:rsidRPr="00000000">
        <w:rPr>
          <w:i w:val="1"/>
          <w:iCs w:val="1"/>
          <w:rtl w:val="0"/>
        </w:rPr>
        <w:t xml:space="preserve">Hedging in scientific research articles</w:t>
      </w:r>
      <w:r w:rsidDel="00000000" w:rsidR="00000000" w:rsidRPr="00000000">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sidDel="00000000" w:rsidR="00000000" w:rsidRPr="00000000">
        <w:rPr>
          <w:rtl w:val="0"/>
        </w:rPr>
        <w:t xml:space="preserve">Hyland, K. (2005). Stance and engagement: A model of interaction in academic discourse. Discourse Studies, 7(2), 173-192. </w:t>
      </w:r>
      <w:hyperlink r:id="rId36">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1C0">
      <w:pPr>
        <w:spacing w:after="0" w:before="0" w:line="480" w:lineRule="auto"/>
        <w:ind w:left="720" w:hanging="720"/>
        <w:jc w:val="both"/>
        <w:rPr/>
      </w:pPr>
      <w:r w:rsidDel="00000000" w:rsidR="00000000" w:rsidRPr="00000000">
        <w:rPr>
          <w:rtl w:val="0"/>
        </w:rPr>
        <w:t xml:space="preserve">Hyland, K., &amp; Milton, J. (1997). Qualification and certainty in L1 and L2 students’ writing. Journal of Second Language Writing, 6(2), 183-205. </w:t>
      </w:r>
      <w:hyperlink r:id="rId37">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1C1">
      <w:pPr>
        <w:spacing w:after="0" w:before="0" w:line="480" w:lineRule="auto"/>
        <w:ind w:left="720" w:hanging="720"/>
        <w:jc w:val="both"/>
        <w:rPr/>
      </w:pPr>
      <w:r w:rsidDel="00000000" w:rsidR="00000000" w:rsidRPr="00000000">
        <w:rPr>
          <w:rtl w:val="0"/>
        </w:rPr>
        <w:t xml:space="preserve">Imataki, N., &amp; Kobayashi, Y. (2024). Analyzing disciplinary variation in abstracts: Linguistic features across scientific and technical fields. Linguistics and Literature Studies, 12(3), 19-28. </w:t>
      </w:r>
      <w:hyperlink r:id="rId38">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1C2">
      <w:pPr>
        <w:spacing w:after="0" w:before="0" w:line="480" w:lineRule="auto"/>
        <w:ind w:left="720" w:hanging="720"/>
        <w:jc w:val="both"/>
        <w:rPr/>
      </w:pPr>
      <w:r w:rsidDel="00000000" w:rsidR="00000000" w:rsidRPr="00000000">
        <w:rPr>
          <w:rtl w:val="0"/>
        </w:rPr>
        <w:t xml:space="preserve">Khunasathitchai, K., Sittironnarit, S., Sinturat, T., &amp; Kumdee, S. (2025). Move analysis and hedge use in the research paper abstracts of Thai EFL English-majored undergraduates. rEFLections, 32(2), 951-973. </w:t>
      </w:r>
      <w:hyperlink r:id="rId39">
        <w:r w:rsidDel="00000000" w:rsidR="00000000" w:rsidRPr="00000000">
          <w:rPr>
            <w:color w:val="1155cc"/>
            <w:u w:val="single"/>
            <w:rtl w:val="0"/>
          </w:rPr>
          <w:t xml:space="preserve">https://doi.org/10.61508/refl.v32i2.282512</w:t>
        </w:r>
      </w:hyperlink>
      <w:r w:rsidDel="00000000" w:rsidR="00000000" w:rsidRPr="00000000">
        <w:rPr>
          <w:rtl w:val="0"/>
        </w:rPr>
      </w:r>
    </w:p>
    <w:p>
      <w:r>
        <w:t>Lingard, L. (2026). Rhetorical candour: When and how to say it straight in your academic manuscript. Perspectives on Medical Education, 15(1), 251–256. https://doi.org/10.5334/pme.2269</w:t>
      </w:r>
    </w:p>
    <w:p w:rsidR="00000000" w:rsidDel="00000000" w:rsidP="00000000" w:rsidRDefault="00000000" w:rsidRPr="00000000" w14:paraId="000001C4">
      <w:pPr>
        <w:spacing w:after="0" w:before="0" w:line="480" w:lineRule="auto"/>
        <w:ind w:left="720" w:hanging="720"/>
        <w:jc w:val="both"/>
        <w:rPr/>
      </w:pPr>
      <w:r w:rsidDel="00000000" w:rsidR="00000000" w:rsidRPr="00000000">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sidDel="00000000" w:rsidR="00000000" w:rsidRPr="00000000">
          <w:rPr>
            <w:color w:val="1155cc"/>
            <w:u w:val="single"/>
            <w:rtl w:val="0"/>
          </w:rPr>
          <w:t xml:space="preserve">https://doi.org/10.47772/IJRISS.2025.91100485</w:t>
        </w:r>
      </w:hyperlink>
      <w:r w:rsidDel="00000000" w:rsidR="00000000" w:rsidRPr="00000000">
        <w:rPr>
          <w:rtl w:val="0"/>
        </w:rPr>
      </w:r>
    </w:p>
    <w:p>
      <w:pPr>
        <w:spacing w:line="480" w:lineRule="auto"/>
        <w:ind w:left="720" w:hanging="720"/>
      </w:pPr>
      <w:r>
        <w:rPr>
          <w:rFonts w:ascii="Georgia" w:hAnsi="Georgia"/>
          <w:sz w:val="22"/>
        </w:rPr>
        <w:t>Luo, S. (2021). A systematic review of undergraduate English language learners’ use of hedging in English academic writing [Capstone paper, Vanderbilt University].</w:t>
      </w:r>
    </w:p>
    <w:p w:rsidR="00000000" w:rsidDel="00000000" w:rsidP="00000000" w:rsidRDefault="00000000" w:rsidRPr="00000000" w14:paraId="000001C5">
      <w:pPr>
        <w:spacing w:after="0" w:before="0" w:line="480" w:lineRule="auto"/>
        <w:ind w:left="720" w:hanging="720"/>
        <w:jc w:val="both"/>
        <w:rPr/>
      </w:pPr>
      <w:r w:rsidDel="00000000" w:rsidR="00000000" w:rsidRPr="00000000">
        <w:rPr>
          <w:rtl w:val="0"/>
        </w:rPr>
        <w:t xml:space="preserve">Mazidah, E. N., Cahyani, W. I., &amp; Masruroh, L. (2022). Hedges and boosters in undergraduate thesis abstracts of Qomaruddin University students. Journal of Education, Humaniora and Social Sciences (JEHSS), 4(3), 1657-1663. </w:t>
      </w:r>
      <w:hyperlink r:id="rId42">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1C6">
      <w:pPr>
        <w:spacing w:after="0" w:before="0" w:line="480" w:lineRule="auto"/>
        <w:ind w:left="720" w:hanging="720"/>
        <w:jc w:val="both"/>
        <w:rPr/>
      </w:pPr>
      <w:r w:rsidDel="00000000" w:rsidR="00000000" w:rsidRPr="00000000">
        <w:rPr>
          <w:rtl w:val="0"/>
        </w:rPr>
        <w:t xml:space="preserve">Mohammed, S. J. (2011). </w:t>
      </w:r>
      <w:r w:rsidDel="00000000" w:rsidR="00000000" w:rsidRPr="00000000">
        <w:rPr>
          <w:i w:val="1"/>
          <w:iCs w:val="1"/>
          <w:rtl w:val="0"/>
        </w:rPr>
        <w:t xml:space="preserve">Lexical hedges: A study of cultural and disciplinary variation in academic research articles</w:t>
      </w:r>
      <w:r w:rsidDel="00000000" w:rsidR="00000000" w:rsidRPr="00000000">
        <w:rPr>
          <w:rtl w:val="0"/>
        </w:rPr>
        <w:t xml:space="preserve"> [Master’s thesis, Universiti Teknologi MARA]. CORE. </w:t>
      </w:r>
      <w:hyperlink r:id="rId43">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1C7">
      <w:pPr>
        <w:spacing w:after="0" w:before="0" w:line="480" w:lineRule="auto"/>
        <w:ind w:left="720" w:hanging="720"/>
        <w:jc w:val="both"/>
        <w:rPr/>
      </w:pPr>
      <w:r w:rsidDel="00000000" w:rsidR="00000000" w:rsidRPr="00000000">
        <w:rPr>
          <w:rtl w:val="0"/>
        </w:rPr>
        <w:t xml:space="preserve">Ningrum, S., Puspita, H., &amp; Mulyadi, A. I. (2024). Hedges and boosters in academic writing of ASEAN EFL learners. Journal of English Education and Teaching, 8(1), 202-218. </w:t>
      </w:r>
      <w:hyperlink r:id="rId44">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1C8">
      <w:pPr>
        <w:spacing w:after="0" w:before="0" w:line="480" w:lineRule="auto"/>
        <w:ind w:left="720" w:hanging="720"/>
        <w:jc w:val="both"/>
        <w:rPr/>
      </w:pPr>
      <w:r w:rsidDel="00000000" w:rsidR="00000000" w:rsidRPr="00000000">
        <w:rPr>
          <w:rtl w:val="0"/>
        </w:rPr>
        <w:t xml:space="preserve">Petchkij, W. (2019). Explicit teaching of hedges: Bringing hedging in academic writing into the Thai EFL classroom. Electronic Journal of Foreign Language Teaching, 16(1), 95-113. </w:t>
      </w:r>
      <w:hyperlink r:id="rId45">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1C9">
      <w:pPr>
        <w:spacing w:after="0" w:before="0" w:line="480" w:lineRule="auto"/>
        <w:ind w:left="720" w:hanging="720"/>
        <w:jc w:val="both"/>
        <w:rPr/>
      </w:pPr>
      <w:r w:rsidDel="00000000" w:rsidR="00000000" w:rsidRPr="00000000">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sidDel="00000000" w:rsidR="00000000" w:rsidRPr="00000000">
        <w:rPr>
          <w:rtl w:val="0"/>
        </w:rPr>
        <w:t xml:space="preserve">Salager-Meyer, F. (1994). Hedges and textual communicative function in medical English written discourse. English for Specific Purposes, 13(2), 149-170. </w:t>
      </w:r>
      <w:hyperlink r:id="rId46">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1CB">
      <w:pPr>
        <w:spacing w:after="0" w:before="0" w:line="480" w:lineRule="auto"/>
        <w:ind w:left="720" w:hanging="720"/>
        <w:jc w:val="both"/>
        <w:rPr/>
      </w:pPr>
      <w:r w:rsidDel="00000000" w:rsidR="00000000" w:rsidRPr="00000000">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sidDel="00000000" w:rsidR="00000000" w:rsidRPr="00000000">
        <w:rPr>
          <w:rtl w:val="0"/>
        </w:rPr>
        <w:t xml:space="preserve">Souici, F., &amp; Slougui, D. (2022). Hedges in biology research articles: What types and frequency do Algerian authors use? Journal of Human Sciences, 33(4), 49-59. </w:t>
      </w:r>
      <w:hyperlink r:id="rId47">
        <w:r w:rsidDel="00000000" w:rsidR="00000000" w:rsidRPr="00000000">
          <w:rPr>
            <w:color w:val="1155cc"/>
            <w:u w:val="single"/>
            <w:rtl w:val="0"/>
          </w:rPr>
          <w:t xml:space="preserve">https://revue.umc.edu.dz/h/article/view/4015</w:t>
        </w:r>
      </w:hyperlink>
      <w:r w:rsidDel="00000000" w:rsidR="00000000" w:rsidRPr="00000000">
        <w:rPr>
          <w:rtl w:val="0"/>
        </w:rPr>
      </w:r>
    </w:p>
    <w:p>
      <w:r>
        <w:t>Sepehri, M., Hajijalili, M., &amp; Namaziandost, E. (2019). Hedges and boosters in medical and engineering research articles: A comparative corpus-based study. Global Journal of Foreign Language Teaching, 9(4), 203–213. https://doi.org/10.18844/gjflt.v9i4.4342</w:t>
      </w:r>
    </w:p>
    <w:p>
      <w:pPr>
        <w:spacing w:line="480" w:lineRule="auto"/>
        <w:ind w:left="720" w:hanging="720"/>
      </w:pPr>
      <w:r>
        <w:rPr>
          <w:rFonts w:ascii="Georgia" w:hAnsi="Georgia" w:eastAsia="Georgia"/>
          <w:sz w:val="22"/>
        </w:rPr>
        <w:t>Takimoto, M. (2015). Assertions and lexical invisibility in EFL learners’ academic essays. Journal of Pragmatics, 89, 85–99. https://doi.org/10.1016/j.pragma.2015.09.009</w:t>
      </w:r>
    </w:p>
    <w:p w:rsidR="00000000" w:rsidDel="00000000" w:rsidP="00000000" w:rsidRDefault="00000000" w:rsidRPr="00000000" w14:paraId="000001CD">
      <w:pPr>
        <w:spacing w:after="0" w:before="0" w:line="480" w:lineRule="auto"/>
        <w:ind w:left="720" w:hanging="720"/>
        <w:jc w:val="both"/>
        <w:rPr/>
      </w:pPr>
      <w:r w:rsidDel="00000000" w:rsidR="00000000" w:rsidRPr="00000000">
        <w:rPr>
          <w:rtl w:val="0"/>
        </w:rPr>
        <w:t xml:space="preserve">Suratno, A., &amp; Aydawati, E. N. (2025). Hedging strategies in non-science theses: A corpus-based analysis of discussion sections. ETERNAL (English Teaching Journal), 16(1), 37-52. </w:t>
      </w:r>
      <w:hyperlink r:id="rId48">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1CE">
      <w:pPr>
        <w:spacing w:after="0" w:before="0" w:line="480" w:lineRule="auto"/>
        <w:ind w:left="720" w:hanging="720"/>
        <w:jc w:val="both"/>
        <w:rPr/>
      </w:pPr>
      <w:r w:rsidDel="00000000" w:rsidR="00000000" w:rsidRPr="00000000">
        <w:rPr>
          <w:rtl w:val="0"/>
        </w:rPr>
        <w:t xml:space="preserve">Villanueva, V. S. (2014). Hedging devices in Philippine newspaper editorials. Asian Journal of English Language Studies, 2, 103-117. </w:t>
      </w:r>
      <w:hyperlink r:id="rId49">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1CF">
      <w:pPr>
        <w:spacing w:after="0" w:before="0" w:line="480" w:lineRule="auto"/>
        <w:ind w:left="720" w:hanging="720"/>
        <w:jc w:val="both"/>
        <w:rPr/>
      </w:pPr>
      <w:r w:rsidDel="00000000" w:rsidR="00000000" w:rsidRPr="00000000">
        <w:rPr>
          <w:rtl w:val="0"/>
        </w:rPr>
        <w:t xml:space="preserve">Wang, X. (2022). </w:t>
      </w:r>
      <w:r w:rsidDel="00000000" w:rsidR="00000000" w:rsidRPr="00000000">
        <w:rPr>
          <w:i w:val="1"/>
          <w:iCs w:val="1"/>
          <w:rtl w:val="0"/>
        </w:rPr>
        <w:t xml:space="preserve">Hedging in academic writing: Cross-disciplinary comparisons in the Michigan Corpus of Upper-Level Student Papers (MICUSP)</w:t>
      </w:r>
      <w:r w:rsidDel="00000000" w:rsidR="00000000" w:rsidRPr="00000000">
        <w:rPr>
          <w:rtl w:val="0"/>
        </w:rPr>
        <w:t xml:space="preserve"> [Preprint]. OSF Preprints. </w:t>
      </w:r>
      <w:hyperlink r:id="rId50">
        <w:r w:rsidDel="00000000" w:rsidR="00000000" w:rsidRPr="00000000">
          <w:rPr>
            <w:color w:val="1155cc"/>
            <w:u w:val="single"/>
            <w:rtl w:val="0"/>
          </w:rPr>
          <w:t xml:space="preserve">https://osf.io/preprints/edarxiv/5xj27</w:t>
        </w:r>
      </w:hyperlink>
      <w:r w:rsidDel="00000000" w:rsidR="00000000" w:rsidRPr="00000000">
        <w:rPr>
          <w:rtl w:val="0"/>
        </w:rPr>
      </w:r>
    </w:p>
    <w:p>
      <w:r>
        <w:t>Wahyuningsih, S., &amp; Sofwan, A. (2014). Hedges in thesis abstracts of graduate students of Semarang State University. English Education Journal, 4(2), 75–81.</w:t>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sidDel="00000000" w:rsidR="00000000" w:rsidRPr="00000000">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