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Table 1 reports sub-program sample sizes (Crop Science n=10, Animal Science n=10), not hedge counts. No separate inferential comparison between sub-programs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sample and the likelihood of zero inflation. Frequency results are reported in the Results chapter.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show three observable patterns in the ratified abstracts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The clearest contrast is Veterinary Medicine's lower hedge density and higher zero-hedge share (Part II). Agriculture and Biology are near-tied on density; the Agriculture-Biology difference is marginal and sensitive to Acs2, so it is not treated as a stable ranking. Descriptive notes only: Agriculture shows a near balance of modal and lexical hedges with tokens such as potential and suggests often in conclusion sentences; Biology's hedges are predominantly lexical, with potential sometimes in aim statements as topic-naming. Neither note is offered as a discipline-level profile. One hypothesis for VM's lower density—more binary or measured outcomes and more factive reporting verbs—fits some abstracts in this subset but was not tested against a comparison group and is not treated as established. Field norms, adviser practice, and outcome type remain unseparated. The defensible claim is that VM abstracts in this corpus hedge less; the cause remains unknown.</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Limited evidence of differentiation, mainly Veterinary Medicine. The Agriculture-Biology difference is marginal and partly outlier-driven. The data cannot separate field norms, adviser practice, and outcome type as explanations.</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Limited evidence of differentiation, mainly Veterinary Medicine. Agriculture’s edge over Biology is modest and outlier-sensitive. The data cannot separate field norms, adviser practice, and outcome type. Statistical evidence is exploratory (Kruskal-Wallis p = .033, no multiple-comparison correction) and the sample is small. The study provides a local baseline: VM abstracts in this corpus hedge less; the cause remains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