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a claim condition and two paired removal checks. Claim condition: a device can only be a hedge if it attaches to a claim—a statement about data, the world, or prior work that evidence could show to be wrong. Aims, directives, and routine procedure are excluded by kind. Non-claims are logged FP. Working Test: remove the device. If the writer’s commitment to the claim’s truth goes up → EC. Reader Test: remove the device. If commitment to the truth stays the same, but the claim reaches the reader more bluntly or the writer takes sole ownership of it against prior work → P. Neither check met → FP (not a function). There is no required category pre-filter before Step 2. Step 3 assigned grammatical type only to retained P and EC tokens. Reason codes (FP-Rec, FP-Cap, FP-Proc, FP-Gen) label residual rejects in the inventory.</w:t>
      </w:r>
    </w:p>
    <w:p>
      <w:pPr>
        <w:spacing w:before="0" w:after="0" w:line="480" w:lineRule="auto"/>
        <w:ind w:firstLine="720"/>
        <w:jc w:val="both"/>
        <w:rPr/>
      </w:pPr>
      <w:r>
        <w:rPr>
          <w:rFonts w:ascii="Georgia" w:hAnsi="Georgia" w:cs="Georgia" w:eastAsia="Georgia"/>
          <w:i w:val="0"/>
          <w:sz w:val="22"/>
          <w:szCs w:val="22"/>
          <w:b w:val="0"/>
          <w:bCs w:val="0"/>
        </w:rPr>
        <w:t xml:space="preserve">The only function labels in this study are Epistemic Caution (EC) and Politeness/Deference (P). False positives are not a function. They are a residual record of candidates that fail the claim condition or meet neither removal check at Step 2. EC and P may co-occur on one retained token (EC+P) when both the Working Test and the Reader Test hold. Connectors, framing forms, directives, and aim statements may appear in the Step 1 net. If the claim condition fails or neither test is met, they are recorded as FP, not as a third function. It is not a license to count every soft-sounding word. Recommendations do not become P by sounding polite: they fail the claim condition.</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 xml:space="preserve">
        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
    </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not a third function.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Chi-Square Test of Independence,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FP, not a function.</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 xml:space="preserve">Hedge Function,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r>
        <w:rPr>
          <w:rFonts w:ascii="Georgia" w:hAnsi="Georgia" w:cs="Georgia" w:eastAsia="Georgia"/>
          <w:sz w:val="22"/>
          <w:b w:val="0"/>
          <w:bCs w:val="0"/>
        </w:rPr>
        <w:t xml:space="preserve"/>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Kruskal-Wallis Test,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 xml:space="preserve">Mann-Whitney U Test,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Softening,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not a function label.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
        d. Pilot Testing and Reliability Checking.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
    </w:t>
      </w:r>
      <w:r>
        <w:rPr>
          <w:rFonts w:ascii="Georgia" w:hAnsi="Georgia" w:cs="Georgia" w:eastAsia="Georgia"/>
          <w:sz w:val="22"/>
          <w:b w:val="0"/>
          <w:bCs w:val="0"/>
        </w:rPr>
        <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proposition—for example when “presence of potential mycobacterial infections” becomes an asserted presence claim without the modifier—the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Alongside the 65 retained EC hedges (and P = 0), the corpus yielded 58 false positive tokens—hedge-like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Table 6 summarizes Step 2 outcomes for the coding pool. Of the retained hedges, all 65 were coded Epistemic Caution (EC). Politeness/Deference is null (P = 0). False positives totaled 58 (FP-Gen 33, FP-Rec 15, FP-Cap 8, FP-Proc 2). FP is not a function label;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checks—including recommendations and other non-claims—are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 xml:space="preserve">
        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
    </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20" w:line="276" w:lineRule="auto"/>
        <w:ind w:left="360" w:hanging="360"/>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0"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20" w:line="276" w:lineRule="auto"/>
        <w:ind w:left="360" w:hanging="360"/>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20" w:after="20" w:line="260"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20" w:line="276" w:lineRule="auto"/>
        <w:ind w:left="360" w:hanging="36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20" w:line="276" w:lineRule="auto"/>
        <w:ind w:left="360" w:hanging="36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20" w:line="276" w:lineRule="auto"/>
        <w:ind w:left="360" w:hanging="36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20" w:line="276" w:lineRule="auto"/>
        <w:ind w:left="360" w:hanging="36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20" w:after="20" w:line="260" w:lineRule="auto"/>
        <w:jc w:val="left"/>
        <w:rPr/>
      </w:pPr>
      <w:r>
        <w:rPr>
          <w:rFonts w:ascii="Georgia" w:hAnsi="Georgia" w:cs="Georgia" w:eastAsia="Georgia"/>
          <w:sz w:val="22"/>
          <w:szCs w:val="22"/>
          <w:rtl w:val="0"/>
        </w:rPr>
        <w:t xml:space="preserve">Functions: EC = uncertainty about a claim’s truth. P = interpersonal softening of a claim. FP = fails the claim condition or both checks (not a function).</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rPr>
        <w:t>Core rules: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rPr>
        <w:t xml:space="preserve">Steps 1–3: Step 1 wide-net candidates. Step 2 = claim condition, then Working Test + Reader Test → EC, P, or FP. Step 3 = type on retained P and EC only.</w:t>
      </w:r>
    </w:p>
    <w:p w:rsidR="00000000" w:rsidDel="00000000" w:rsidP="00000000" w:rsidRDefault="00000000" w:rsidRPr="00000000" w14:paraId="00000233">
      <w:pPr>
        <w:spacing w:before="40" w:after="20" w:line="260" w:lineRule="auto"/>
        <w:jc w:val="left"/>
        <w:rPr/>
      </w:pPr>
      <w:r>
        <w:rPr>
          <w:rFonts w:ascii="Georgia" w:hAnsi="Georgia" w:cs="Georgia" w:eastAsia="Georgia"/>
          <w:sz w:val="24"/>
          <w:szCs w:val="24"/>
          <w:rtl w:val="0"/>
          <w:b/>
          <w:bCs/>
        </w:rPr>
        <w:t>QUICK-REFERENCE LEGEND</w:t>
      </w:r>
      <w:r>
        <w:rPr>
          <w:rtl w:val="0"/>
          <w:sz w:val="24"/>
          <w:szCs w:val="24"/>
        </w:rPr>
      </w:r>
    </w:p>
    <w:p w:rsidR="00000000" w:rsidDel="00000000" w:rsidP="00000000" w:rsidRDefault="00000000" w:rsidRPr="00000000" w14:paraId="00000234">
      <w:pPr>
        <w:spacing w:before="0" w:after="20" w:line="276" w:lineRule="auto"/>
        <w:ind w:left="360" w:hanging="36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20" w:after="20" w:line="26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20" w:line="26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20" w:after="20" w:line="26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80" w:after="40" w:line="260" w:lineRule="auto"/>
        <w:jc w:val="left"/>
        <w:rPr/>
        <w:keepNext/>
      </w:pPr>
      <w:r>
        <w:rPr>
          <w:rFonts w:ascii="Georgia" w:hAnsi="Georgia" w:cs="Georgia" w:eastAsia="Georgia"/>
          <w:sz w:val="24"/>
          <w:szCs w:val="24"/>
          <w:rtl w:val="0"/>
          <w:b/>
          <w:bCs/>
        </w:rPr>
        <w:t>COMBINED EXAMPLE</w:t>
      </w:r>
      <w:r>
        <w:rPr>
          <w:rtl w:val="0"/>
          <w:sz w:val="24"/>
          <w:szCs w:val="24"/>
        </w:rPr>
      </w:r>
    </w:p>
    <w:p>
      <w:pPr>
        <w:spacing w:before="0" w:after="40" w:line="260" w:lineRule="auto"/>
        <w:keepNext/>
      </w:pPr>
      <w:r>
        <w:rPr>
          <w:rFonts w:ascii="Georgia" w:hAnsi="Georgia" w:cs="Georgia" w:eastAsia="Georgia"/>
          <w:sz w:val="24"/>
          <w:szCs w:val="24"/>
        </w:rPr>
        <w:t xml:space="preserve">“The results </w:t>
      </w:r>
      <w:r>
        <w:rPr>
          <w:rFonts w:ascii="Georgia" w:hAnsi="Georgia" w:cs="Georgia" w:eastAsia="Georgia"/>
          <w:sz w:val="24"/>
          <w:szCs w:val="24"/>
          <w:shd w:val="clear" w:fill="FF9999" w:color="auto"/>
        </w:rPr>
        <w:t xml:space="preserve">suggested</w:t>
      </w:r>
      <w:r>
        <w:rPr>
          <w:rFonts w:ascii="Georgia" w:hAnsi="Georgia" w:cs="Georgia" w:eastAsia="Georgia"/>
          <w:sz w:val="24"/>
          <w:szCs w:val="24"/>
        </w:rPr>
        <w:t xml:space="preserve"> (Lexical, </w:t>
      </w:r>
      <w:r>
        <w:rPr>
          <w:rFonts w:ascii="Georgia" w:hAnsi="Georgia" w:cs="Georgia" w:eastAsia="Georgia"/>
          <w:sz w:val="24"/>
          <w:szCs w:val="24"/>
          <w:color w:val="ED7D31"/>
          <w:b/>
        </w:rPr>
        <w:t xml:space="preserve">EC</w:t>
      </w:r>
      <w:r>
        <w:rPr>
          <w:rFonts w:ascii="Georgia" w:hAnsi="Georgia" w:cs="Georgia" w:eastAsia="Georgia"/>
          <w:sz w:val="24"/>
          <w:szCs w:val="24"/>
        </w:rPr>
        <w:t xml:space="preserve">) that extracts are </w:t>
      </w:r>
      <w:r>
        <w:rPr>
          <w:rFonts w:ascii="Georgia" w:hAnsi="Georgia" w:cs="Georgia" w:eastAsia="Georgia"/>
          <w:sz w:val="24"/>
          <w:szCs w:val="24"/>
          <w:shd w:val="clear" w:fill="FF9999" w:color="auto"/>
        </w:rPr>
        <w:t xml:space="preserve">potential</w:t>
      </w:r>
      <w:r>
        <w:rPr>
          <w:rFonts w:ascii="Georgia" w:hAnsi="Georgia" w:cs="Georgia" w:eastAsia="Georgia"/>
          <w:sz w:val="24"/>
          <w:szCs w:val="24"/>
        </w:rPr>
        <w:t xml:space="preserve"> (Lexical, </w:t>
      </w:r>
      <w:r>
        <w:rPr>
          <w:rFonts w:ascii="Georgia" w:hAnsi="Georgia" w:cs="Georgia" w:eastAsia="Georgia"/>
          <w:sz w:val="24"/>
          <w:szCs w:val="24"/>
          <w:color w:val="ED7D31"/>
          <w:b/>
        </w:rPr>
        <w:t xml:space="preserve">EC</w:t>
      </w:r>
      <w:r>
        <w:rPr>
          <w:rFonts w:ascii="Georgia" w:hAnsi="Georgia" w:cs="Georgia" w:eastAsia="Georgia"/>
          <w:sz w:val="24"/>
          <w:szCs w:val="24"/>
        </w:rPr>
        <w:t xml:space="preserve">) alternative stains. As prior studies </w:t>
      </w:r>
      <w:r>
        <w:rPr>
          <w:rFonts w:ascii="Georgia" w:hAnsi="Georgia" w:cs="Georgia" w:eastAsia="Georgia"/>
          <w:sz w:val="24"/>
          <w:szCs w:val="24"/>
          <w:shd w:val="clear" w:fill="FF9999" w:color="auto"/>
        </w:rPr>
        <w:t xml:space="preserve">indicated</w:t>
      </w:r>
      <w:r>
        <w:rPr>
          <w:rFonts w:ascii="Georgia" w:hAnsi="Georgia" w:cs="Georgia" w:eastAsia="Georgia"/>
          <w:sz w:val="24"/>
          <w:szCs w:val="24"/>
        </w:rPr>
        <w:t xml:space="preserve"> (Lexical, </w:t>
      </w:r>
      <w:r>
        <w:rPr>
          <w:rFonts w:ascii="Georgia" w:hAnsi="Georgia" w:cs="Georgia" w:eastAsia="Georgia"/>
          <w:sz w:val="24"/>
          <w:szCs w:val="24"/>
          <w:color w:val="7030A0"/>
          <w:b/>
        </w:rPr>
        <w:t xml:space="preserve">P</w:t>
      </w:r>
      <w:r>
        <w:rPr>
          <w:rFonts w:ascii="Georgia" w:hAnsi="Georgia" w:cs="Georgia" w:eastAsia="Georgia"/>
          <w:sz w:val="24"/>
          <w:szCs w:val="24"/>
        </w:rPr>
        <w:t xml:space="preserve">), PCR </w:t>
      </w:r>
      <w:r>
        <w:rPr>
          <w:rFonts w:ascii="Georgia" w:hAnsi="Georgia" w:cs="Georgia" w:eastAsia="Georgia"/>
          <w:sz w:val="24"/>
          <w:szCs w:val="24"/>
          <w:strike/>
        </w:rPr>
        <w:t xml:space="preserve">can</w:t>
      </w:r>
      <w:r>
        <w:rPr>
          <w:rFonts w:ascii="Georgia" w:hAnsi="Georgia" w:cs="Georgia" w:eastAsia="Georgia"/>
          <w:sz w:val="24"/>
          <w:szCs w:val="24"/>
        </w:rPr>
        <w:t xml:space="preserve"> </w:t>
      </w:r>
      <w:r>
        <w:rPr>
          <w:rFonts w:ascii="Georgia" w:hAnsi="Georgia" w:cs="Georgia" w:eastAsia="Georgia"/>
          <w:sz w:val="24"/>
          <w:szCs w:val="24"/>
          <w:color w:val="808080"/>
        </w:rPr>
        <w:t xml:space="preserve">(FP-Cap)</w:t>
      </w:r>
      <w:r>
        <w:rPr>
          <w:rFonts w:ascii="Georgia" w:hAnsi="Georgia" w:cs="Georgia" w:eastAsia="Georgia"/>
          <w:sz w:val="24"/>
          <w:szCs w:val="24"/>
        </w:rPr>
        <w:t xml:space="preserve"> also detect low concentrations. Farmers </w:t>
      </w:r>
      <w:r>
        <w:rPr>
          <w:rFonts w:ascii="Georgia" w:hAnsi="Georgia" w:cs="Georgia" w:eastAsia="Georgia"/>
          <w:sz w:val="24"/>
          <w:szCs w:val="24"/>
          <w:strike/>
        </w:rPr>
        <w:t xml:space="preserve">should</w:t>
      </w:r>
      <w:r>
        <w:rPr>
          <w:rFonts w:ascii="Georgia" w:hAnsi="Georgia" w:cs="Georgia" w:eastAsia="Georgia"/>
          <w:sz w:val="24"/>
          <w:szCs w:val="24"/>
        </w:rPr>
        <w:t xml:space="preserve"> </w:t>
      </w:r>
      <w:r>
        <w:rPr>
          <w:rFonts w:ascii="Georgia" w:hAnsi="Georgia" w:cs="Georgia" w:eastAsia="Georgia"/>
          <w:sz w:val="24"/>
          <w:szCs w:val="24"/>
          <w:color w:val="808080"/>
        </w:rPr>
        <w:t xml:space="preserve">(FP-Rec)</w:t>
      </w:r>
      <w:r>
        <w:rPr>
          <w:rFonts w:ascii="Georgia" w:hAnsi="Georgia" w:cs="Georgia" w:eastAsia="Georgia"/>
          <w:sz w:val="24"/>
          <w:szCs w:val="24"/>
        </w:rPr>
        <w:t xml:space="preserve"> adopt the treatment. In conclusion, T3 produced the highest yield </w:t>
      </w:r>
      <w:r>
        <w:rPr>
          <w:rFonts w:ascii="Georgia" w:hAnsi="Georgia" w:cs="Georgia" w:eastAsia="Georgia"/>
          <w:sz w:val="24"/>
          <w:szCs w:val="24"/>
          <w:color w:val="808080"/>
        </w:rPr>
        <w:t xml:space="preserve">(FP framing)</w:t>
      </w:r>
      <w:r>
        <w:rPr>
          <w:rFonts w:ascii="Georgia" w:hAnsi="Georgia" w:cs="Georgia" w:eastAsia="Georgia"/>
          <w:sz w:val="24"/>
          <w:szCs w:val="24"/>
        </w:rPr>
        <w:t xml:space="preserve">. The treatment </w:t>
      </w:r>
      <w:r>
        <w:rPr>
          <w:rFonts w:ascii="Georgia" w:hAnsi="Georgia" w:cs="Georgia" w:eastAsia="Georgia"/>
          <w:sz w:val="24"/>
          <w:szCs w:val="24"/>
          <w:shd w:val="clear" w:fill="00B0F0" w:color="auto"/>
        </w:rPr>
        <w:t xml:space="preserve">may</w:t>
      </w:r>
      <w:r>
        <w:rPr>
          <w:rFonts w:ascii="Georgia" w:hAnsi="Georgia" w:cs="Georgia" w:eastAsia="Georgia"/>
          <w:sz w:val="24"/>
          <w:szCs w:val="24"/>
        </w:rPr>
        <w:t xml:space="preserve"> (Modal, </w:t>
      </w:r>
      <w:r>
        <w:rPr>
          <w:rFonts w:ascii="Georgia" w:hAnsi="Georgia" w:cs="Georgia" w:eastAsia="Georgia"/>
          <w:sz w:val="24"/>
          <w:szCs w:val="24"/>
          <w:color w:val="ED7D31"/>
          <w:b/>
        </w:rPr>
        <w:t xml:space="preserve">EC</w:t>
      </w:r>
      <w:r>
        <w:rPr>
          <w:rFonts w:ascii="Georgia" w:hAnsi="Georgia" w:cs="Georgia" w:eastAsia="Georgia"/>
          <w:sz w:val="24"/>
          <w:szCs w:val="24"/>
        </w:rPr>
        <w:t xml:space="preserve">) reduce infection rates.”</w:t>
      </w:r>
    </w:p>
    <w:p>
      <w:pPr>
        <w:spacing w:before="0" w:after="40" w:line="260" w:lineRule="auto"/>
      </w:pPr>
      <w:r>
        <w:rPr>
          <w:rFonts w:ascii="Georgia" w:hAnsi="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1B4">
      <w:pPr>
        <w:spacing w:before="12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sz w:val="22"/>
          <w:szCs w:val="22"/>
          <w:rtl w:val="0"/>
        </w:rPr>
        <w:t>PURPOSE</w:t>
      </w:r>
      <w:r>
        <w:rPr>
          <w:rtl w:val="0"/>
          <w:sz w:val="22"/>
          <w:szCs w:val="22"/>
        </w:rPr>
      </w:r>
    </w:p>
    <w:p w:rsidR="00000000" w:rsidDel="00000000" w:rsidP="00000000" w:rsidRDefault="00000000" w:rsidRPr="00000000" w14:paraId="000001B6">
      <w:pPr>
        <w:spacing w:before="0" w:after="60"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60" w:line="360" w:lineRule="auto"/>
        <w:ind w:left="360" w:hanging="360"/>
        <w:jc w:val="both"/>
        <w:rPr/>
      </w:pPr>
      <w:r>
        <w:rPr>
          <w:rFonts w:ascii="Georgia" w:hAnsi="Georgia" w:cs="Georgia" w:eastAsia="Georgia"/>
          <w:i w:val="0"/>
          <w:iCs w:val="0"/>
          <w:color w:val="000000"/>
          <w:sz w:val="20"/>
          <w:szCs w:val="20"/>
          <w:rtl w:val="0"/>
        </w:rPr>
        <w:t xml:space="preserve">
        • Step 1 (wide net). After the holistic read, mark all possible hedge candidates. This step does not count retained hedges.
    </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tl w:val="0"/>
          <w:sz w:val="20"/>
          <w:szCs w:val="20"/>
        </w:rPr>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(not a function).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60" w:line="360" w:lineRule="auto"/>
        <w:ind w:left="360" w:hanging="360"/>
        <w:jc w:val="both"/>
        <w:rPr/>
      </w:pPr>
      <w:r>
        <w:rPr>
          <w:rFonts w:ascii="Georgia" w:hAnsi="Georgia" w:cs="Georgia" w:eastAsia="Georgia"/>
          <w:i w:val="0"/>
          <w:iCs w:val="0"/>
          <w:sz w:val="20"/>
          <w:szCs w:val="20"/>
          <w:rtl w:val="0"/>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60" w:line="360" w:lineRule="auto"/>
        <w:ind w:left="360" w:hanging="360"/>
        <w:jc w:val="both"/>
        <w:rPr/>
      </w:pPr>
      <w:r>
        <w:rPr>
          <w:rFonts w:ascii="Georgia" w:hAnsi="Georgia" w:cs="Georgia" w:eastAsia="Georgia"/>
          <w:i w:val="0"/>
          <w:iCs w:val="0"/>
          <w:color w:val="000000"/>
          <w:sz w:val="20"/>
          <w:szCs w:val="20"/>
          <w:rtl w:val="0"/>
        </w:rPr>
        <w:t xml:space="preserve">• Step 3 (type). On retained P and EC tokens only, assign grammatical type (modal, lexical, adverbial, clause-level).</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tl w:val="0"/>
          <w:sz w:val="20"/>
          <w:szCs w:val="20"/>
        </w:rPr>
      </w:r>
    </w:p>
    <w:p w:rsidR="00000000" w:rsidDel="00000000" w:rsidP="00000000" w:rsidRDefault="00000000" w:rsidRPr="00000000" w14:paraId="000001BC">
      <w:pPr>
        <w:spacing w:before="0" w:after="60" w:line="360" w:lineRule="auto"/>
        <w:ind w:left="360" w:hanging="360"/>
        <w:jc w:val="both"/>
        <w:rPr/>
      </w:pPr>
      <w:r>
        <w:rPr>
          <w:rFonts w:ascii="Georgia" w:hAnsi="Georgia" w:cs="Georgia" w:eastAsia="Georgia"/>
          <w:i w:val="0"/>
          <w:iCs w:val="0"/>
          <w:sz w:val="20"/>
          <w:szCs w:val="20"/>
          <w:rtl w:val="0"/>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spacing w:before="40" w:after="14" w:line="360" w:lineRule="auto"/>
        <w:jc w:val="left"/>
        <w:rPr/>
      </w:pPr>
      <w:r>
        <w:rPr>
          <w:rFonts w:ascii="Georgia" w:hAnsi="Georgia" w:cs="Georgia" w:eastAsia="Georgia"/>
          <w:sz w:val="22"/>
          <w:szCs w:val="22"/>
          <w:rtl w:val="0"/>
          <w:b/>
          <w:bCs w:val="0"/>
        </w:rPr>
        <w:t xml:space="preserve">
        WORKING EXAMPLES: STEP 2 (WORKING TEST + READER TEST) AND STEP 3 TYPE
    </w:t>
      </w:r>
      <w:r>
        <w:rPr>
          <w:rtl w:val="0"/>
          <w:b w:val="1"/>
          <w:sz w:val="22"/>
          <w:szCs w:val="22"/>
        </w:rPr>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 P + EC: Both Working Test and Reader Test hold on one token → EC+P (or dominant label plus dual note in Coder Notes).
    </w:t>
      </w:r>
      <w:r>
        <w:rPr>
          <w:rtl w:val="0"/>
          <w:sz w:val="20"/>
          <w:szCs w:val="20"/>
        </w:rPr>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 FP: “In conclusion, T3 produced the highest yield.” Removing the frame changes neither truth-commitment nor interpersonal imposition toward readers/prior work → FP. Not a function label.
    </w:t>
      </w:r>
      <w:r>
        <w:rPr>
          <w:rtl w:val="0"/>
          <w:sz w:val="20"/>
          <w:szCs w:val="20"/>
        </w:rPr>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Summary: Step 1 is wide. Step 2 uses a claim condition, then the Working Test (EC) and Reader Test (P). Non-claims fail the claim condition and are FP. Neither removal check met → FP (not a function).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60"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(not a function)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60" w:line="360" w:lineRule="auto"/>
        <w:ind w:left="360" w:hanging="36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60" w:line="360" w:lineRule="auto"/>
        <w:ind w:left="360" w:hanging="36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60" w:line="360" w:lineRule="auto"/>
        <w:ind w:left="360" w:hanging="36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60" w:line="360" w:lineRule="auto"/>
        <w:ind w:left="360" w:hanging="36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