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view—not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Across the 60 abstracts, hedging is present but uneven. Lexical forms, especially potential in results and implication frames, dominate the retained set; modal verbs are secondary; adverbial and clause-level hedges are rare or absent. A large share of abstracts carry no coded hedges at all. Under Stage 1–2 coding, every retained token was labeled Epistemic Caution: no politeness candidates appeared in the corpus, and sequence-only discourse markers were not counted as hedges. That functional profile describes this sample’s retained set, not a claim that interpersonal or discourse mitigation never occurs in student writing.</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contrast is limited and should be read carefully. Veterinary Medicine shows the lowest density; Agriculture and Biology sit closer together, and Agriculture’s apparent edge is sensitive to a single high-hedge abstract. Rescue-hedging after a non-significant result appears in that outlier and connects to the study’s opening concern with overclaiming, but one text cannot ground a Null/NS pattern for the discipline. Field norms, adviser practice, and study-design mix remain entangled. The study’s main contribution is a local baseline for how ratified undergraduate abstracts at PSAU manage epistemic stance through hedging—narrow in type, uneven in density, and epistemically focused among the tokens that met the coding rules—rather than a full map of disciplinary style.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