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footerReference r:id="rId7" w:type="default"/>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114300" distR="114300">
            <wp:extent cx="3601548" cy="285161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601548" cy="2851612"/>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for English Language Studies claims about learner English and as a need for future research with proficiency controls.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4C">
      <w:pPr>
        <w:spacing w:after="0" w:before="0" w:line="480" w:lineRule="auto"/>
        <w:ind w:firstLine="720"/>
        <w:jc w:val="both"/>
        <w:rPr/>
      </w:pPr>
      <w:r>
        <w:rPr>
          <w:sz w:val="22"/>
          <w:szCs w:val="22"/>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r>
        <w:rPr>
          <w:rtl w:val="0"/>
        </w:rPr>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r>
        <w:rPr>
          <w:rtl w:val="0"/>
        </w:rPr>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rsidR="00000000" w:rsidDel="00000000" w:rsidP="00000000" w:rsidRDefault="00000000" w:rsidRPr="00000000" w14:paraId="0000007B">
      <w:pPr>
        <w:keepNext w:val="1"/>
        <w:pageBreakBefore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A4">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Hedge Types across the Three Disciplines</w:t>
      </w:r>
      <w:r>
        <w:rPr>
          <w:rtl w:val="0"/>
        </w:rPr>
      </w:r>
    </w:p>
    <w:p w:rsidR="00000000" w:rsidDel="00000000" w:rsidP="00000000" w:rsidRDefault="00000000" w:rsidRPr="00000000" w14:paraId="000000A9">
      <w:pPr>
        <w:spacing w:after="0" w:before="0" w:line="480" w:lineRule="auto"/>
        <w:ind w:firstLine="720"/>
        <w:jc w:val="both"/>
        <w:rPr/>
      </w:pPr>
      <w:r>
        <w:rPr>
          <w:sz w:val="22"/>
          <w:szCs w:val="22"/>
          <w:rtl w:val="0"/>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AA">
      <w:pPr>
        <w:keepNext w:val="1"/>
        <w:pageBreakBefore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i w:val="0"/>
                <w:iCs w:val="0"/>
                <w:sz w:val="18"/>
                <w:szCs w:val="18"/>
                <w:rtl w:val="0"/>
              </w:rPr>
              <w:t xml:space="preserve">21</w:t>
            </w:r>
            <w:r>
              <w:rPr>
                <w:rtl w:val="0"/>
              </w:rPr>
            </w:r>
          </w:p>
        </w:tc>
        <w:tc>
          <w:tcPr/>
          <w:p w:rsidR="00000000" w:rsidDel="00000000" w:rsidP="00000000" w:rsidRDefault="00000000" w:rsidRPr="00000000" w14:paraId="000000B1">
            <w:pPr>
              <w:spacing w:after="0" w:before="0" w:line="480" w:lineRule="auto"/>
              <w:rPr>
                <w:sz w:val="18"/>
                <w:szCs w:val="18"/>
              </w:rPr>
            </w:pPr>
            <w:r>
              <w:rPr>
                <w:i w:val="0"/>
                <w:iCs w:val="0"/>
                <w:sz w:val="18"/>
                <w:szCs w:val="18"/>
                <w:rtl w:val="0"/>
              </w:rPr>
              <w:t xml:space="preserve">32.3%</w:t>
            </w:r>
            <w:r>
              <w:rPr>
                <w:rtl w:val="0"/>
              </w:rPr>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i w:val="0"/>
                <w:iCs w:val="0"/>
                <w:sz w:val="18"/>
                <w:szCs w:val="18"/>
                <w:rtl w:val="0"/>
              </w:rPr>
              <w:t xml:space="preserve">41</w:t>
            </w:r>
            <w:r>
              <w:rPr>
                <w:rtl w:val="0"/>
              </w:rPr>
            </w:r>
          </w:p>
        </w:tc>
        <w:tc>
          <w:tcPr/>
          <w:p w:rsidR="00000000" w:rsidDel="00000000" w:rsidP="00000000" w:rsidRDefault="00000000" w:rsidRPr="00000000" w14:paraId="000000B4">
            <w:pPr>
              <w:spacing w:after="0" w:before="0" w:line="480" w:lineRule="auto"/>
              <w:rPr>
                <w:sz w:val="18"/>
                <w:szCs w:val="18"/>
              </w:rPr>
            </w:pPr>
            <w:r>
              <w:rPr>
                <w:i w:val="0"/>
                <w:iCs w:val="0"/>
                <w:sz w:val="18"/>
                <w:szCs w:val="18"/>
                <w:rtl w:val="0"/>
              </w:rPr>
              <w:t xml:space="preserve">63.1%</w:t>
            </w:r>
            <w:r>
              <w:rPr>
                <w:rtl w:val="0"/>
              </w:rPr>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i w:val="0"/>
                <w:iCs w:val="0"/>
                <w:sz w:val="18"/>
                <w:szCs w:val="18"/>
                <w:rtl w:val="0"/>
              </w:rPr>
              <w:t xml:space="preserve">3</w:t>
            </w:r>
            <w:r>
              <w:rPr>
                <w:rtl w:val="0"/>
              </w:rPr>
            </w:r>
          </w:p>
        </w:tc>
        <w:tc>
          <w:tcPr/>
          <w:p w:rsidR="00000000" w:rsidDel="00000000" w:rsidP="00000000" w:rsidRDefault="00000000" w:rsidRPr="00000000" w14:paraId="000000B7">
            <w:pPr>
              <w:spacing w:after="0" w:before="0" w:line="480" w:lineRule="auto"/>
              <w:rPr>
                <w:sz w:val="18"/>
                <w:szCs w:val="18"/>
              </w:rPr>
            </w:pPr>
            <w:r>
              <w:rPr>
                <w:i w:val="0"/>
                <w:iCs w:val="0"/>
                <w:sz w:val="18"/>
                <w:szCs w:val="18"/>
                <w:rtl w:val="0"/>
              </w:rPr>
              <w:t xml:space="preserve">4.6%</w:t>
            </w:r>
            <w:r>
              <w:rPr>
                <w:rtl w:val="0"/>
              </w:rPr>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0BC">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0BD">
            <w:pPr>
              <w:spacing w:after="0" w:before="0" w:line="480" w:lineRule="auto"/>
              <w:rPr>
                <w:sz w:val="18"/>
                <w:szCs w:val="18"/>
              </w:rPr>
            </w:pPr>
            <w:r>
              <w:rPr>
                <w:i w:val="0"/>
                <w:iCs w:val="0"/>
                <w:sz w:val="18"/>
                <w:szCs w:val="18"/>
                <w:rtl w:val="0"/>
              </w:rPr>
              <w:t xml:space="preserve">100.0%</w:t>
            </w:r>
            <w:r>
              <w:rPr>
                <w:rtl w:val="0"/>
              </w:rPr>
            </w:r>
          </w:p>
        </w:tc>
      </w:tr>
    </w:tbl>
    <w:p w:rsidR="00000000" w:rsidDel="00000000" w:rsidP="00000000" w:rsidRDefault="00000000" w:rsidRPr="00000000" w14:paraId="000000BE">
      <w:pPr>
        <w:spacing w:after="0" w:before="240" w:line="480" w:lineRule="auto"/>
        <w:ind w:firstLine="720"/>
        <w:jc w:val="both"/>
        <w:rPr/>
      </w:pPr>
      <w:r>
        <w:rPr>
          <w:sz w:val="22"/>
          <w:szCs w:val="22"/>
          <w:rtl w:val="0"/>
        </w:rPr>
        <w:t xml:space="preserve">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BF">
      <w:pPr>
        <w:spacing w:after="0" w:before="0" w:line="480" w:lineRule="auto"/>
        <w:ind w:firstLine="720"/>
        <w:jc w:val="both"/>
        <w:rPr/>
      </w:pPr>
      <w:r>
        <w:rPr>
          <w:sz w:val="22"/>
          <w:szCs w:val="22"/>
          <w:rtl w:val="0"/>
        </w:rPr>
        <w:t xml:space="preserve">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
This lexical-led profile diverges from studies where developing writers rely mainly on modal verbs (Khunasathitchai et al., 2025; Wang, 2022). In scientific English,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The absence of clause-level hedges is consistent with a compressed abstract genre and with a limited L2 repertoire for multi-word epistemic frames. For English Language Studies, the type profile is less a ranking of “best” hedges than a map of which English forms do the work of caution in these ratified summaries.</w:t>
      </w:r>
      <w:r>
        <w:rPr>
          <w:rtl w:val="0"/>
        </w:rPr>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4.0" w:type="dxa"/>
        <w:jc w:val="left"/>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after="0" w:before="0" w:line="480" w:lineRule="auto"/>
              <w:jc w:val="center"/>
              <w:rPr>
                <w:sz w:val="18"/>
                <w:szCs w:val="18"/>
              </w:rPr>
            </w:pPr>
            <w:r>
              <w:rPr>
                <w:sz w:val="18"/>
                <w:szCs w:val="18"/>
                <w:rtl w:val="0"/>
              </w:rPr>
              <w:t xml:space="preserve">29.2%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D">
            <w:pPr>
              <w:spacing w:after="0" w:before="0" w:line="480" w:lineRule="auto"/>
              <w:jc w:val="center"/>
              <w:rPr>
                <w:sz w:val="18"/>
                <w:szCs w:val="18"/>
              </w:rPr>
            </w:pPr>
            <w:r>
              <w:rPr>
                <w:sz w:val="18"/>
                <w:szCs w:val="18"/>
                <w:rtl w:val="0"/>
              </w:rPr>
              <w:t xml:space="preserve">10.8%</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5">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5">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D">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5">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4">
            <w:pPr>
              <w:spacing w:after="0" w:before="0" w:line="480" w:lineRule="auto"/>
              <w:jc w:val="center"/>
              <w:rPr>
                <w:sz w:val="18"/>
                <w:szCs w:val="18"/>
              </w:rPr>
            </w:pPr>
            <w:r>
              <w:rPr>
                <w:sz w:val="18"/>
                <w:szCs w:val="18"/>
                <w:rtl w:val="0"/>
              </w:rPr>
              <w:t xml:space="preserve">65</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5">
            <w:pPr>
              <w:spacing w:after="0" w:before="0" w:line="480" w:lineRule="auto"/>
              <w:jc w:val="center"/>
              <w:rPr>
                <w:sz w:val="18"/>
                <w:szCs w:val="18"/>
              </w:rPr>
            </w:pPr>
            <w:r>
              <w:rPr>
                <w:sz w:val="18"/>
                <w:szCs w:val="18"/>
                <w:rtl w:val="0"/>
              </w:rPr>
              <w:t xml:space="preserve">100.0%</w:t>
            </w:r>
          </w:p>
        </w:tc>
      </w:tr>
    </w:tbl>
    <w:p w:rsidR="00000000" w:rsidDel="00000000" w:rsidP="00000000" w:rsidRDefault="00000000" w:rsidRPr="00000000" w14:paraId="00000106">
      <w:pPr>
        <w:spacing w:after="0" w:before="120" w:line="480" w:lineRule="auto"/>
        <w:ind w:firstLine="720"/>
        <w:rPr/>
      </w:pPr>
      <w:r>
        <w:rPr>
          <w:sz w:val="22"/>
          <w:szCs w:val="22"/>
          <w:rtl w:val="0"/>
        </w:rPr>
        <w:t xml:space="preserve">Table 3 lists every retained hedge form in the corpus with its grammatical type and count. Counts sum to 65 and match Table 2. Surface forms of the same root are listed separately here so each tally line can be checked against the coding sheet.</w:t>
      </w:r>
      <w:r>
        <w:rPr>
          <w:rtl w:val="0"/>
        </w:rPr>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i w:val="0"/>
                <w:iCs w:val="0"/>
                <w:sz w:val="18"/>
                <w:szCs w:val="18"/>
                <w:rtl w:val="0"/>
              </w:rPr>
              <w:t xml:space="preserve">14 (51.9%)</w:t>
            </w:r>
            <w:r>
              <w:rPr>
                <w:rtl w:val="0"/>
              </w:rPr>
            </w:r>
          </w:p>
        </w:tc>
        <w:tc>
          <w:tcPr/>
          <w:p w:rsidR="00000000" w:rsidDel="00000000" w:rsidP="00000000" w:rsidRDefault="00000000" w:rsidRPr="00000000" w14:paraId="00000113">
            <w:pPr>
              <w:spacing w:after="0" w:before="0" w:line="480" w:lineRule="auto"/>
              <w:rPr>
                <w:sz w:val="18"/>
                <w:szCs w:val="18"/>
              </w:rPr>
            </w:pPr>
            <w:r>
              <w:rPr>
                <w:i w:val="0"/>
                <w:iCs w:val="0"/>
                <w:sz w:val="18"/>
                <w:szCs w:val="18"/>
                <w:rtl w:val="0"/>
              </w:rPr>
              <w:t xml:space="preserve">13 (48.1%)</w:t>
            </w:r>
            <w:r>
              <w:rPr>
                <w:rtl w:val="0"/>
              </w:rPr>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i w:val="0"/>
                <w:iCs w:val="0"/>
                <w:sz w:val="18"/>
                <w:szCs w:val="18"/>
                <w:rtl w:val="0"/>
              </w:rPr>
              <w:t xml:space="preserve">27</w:t>
            </w:r>
            <w:r>
              <w:rPr>
                <w:rtl w:val="0"/>
              </w:rPr>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24">
            <w:pPr>
              <w:spacing w:after="0" w:before="0" w:line="480" w:lineRule="auto"/>
              <w:rPr>
                <w:sz w:val="18"/>
                <w:szCs w:val="18"/>
              </w:rPr>
            </w:pPr>
            <w:r>
              <w:rPr>
                <w:i w:val="0"/>
                <w:iCs w:val="0"/>
                <w:sz w:val="18"/>
                <w:szCs w:val="18"/>
                <w:rtl w:val="0"/>
              </w:rPr>
              <w:t xml:space="preserve">21 (32.3%)</w:t>
            </w:r>
            <w:r>
              <w:rPr>
                <w:rtl w:val="0"/>
              </w:rPr>
            </w:r>
          </w:p>
        </w:tc>
        <w:tc>
          <w:tcPr/>
          <w:p w:rsidR="00000000" w:rsidDel="00000000" w:rsidP="00000000" w:rsidRDefault="00000000" w:rsidRPr="00000000" w14:paraId="00000125">
            <w:pPr>
              <w:spacing w:after="0" w:before="0" w:line="480" w:lineRule="auto"/>
              <w:rPr>
                <w:sz w:val="18"/>
                <w:szCs w:val="18"/>
              </w:rPr>
            </w:pPr>
            <w:r>
              <w:rPr>
                <w:i w:val="0"/>
                <w:iCs w:val="0"/>
                <w:sz w:val="18"/>
                <w:szCs w:val="18"/>
                <w:rtl w:val="0"/>
              </w:rPr>
              <w:t xml:space="preserve">41 (63.1%)</w:t>
            </w:r>
            <w:r>
              <w:rPr>
                <w:rtl w:val="0"/>
              </w:rPr>
            </w:r>
          </w:p>
        </w:tc>
        <w:tc>
          <w:tcPr/>
          <w:p w:rsidR="00000000" w:rsidDel="00000000" w:rsidP="00000000" w:rsidRDefault="00000000" w:rsidRPr="00000000" w14:paraId="00000126">
            <w:pPr>
              <w:spacing w:after="0" w:before="0" w:line="480" w:lineRule="auto"/>
              <w:rPr>
                <w:sz w:val="18"/>
                <w:szCs w:val="18"/>
              </w:rPr>
            </w:pPr>
            <w:r>
              <w:rPr>
                <w:i w:val="0"/>
                <w:iCs w:val="0"/>
                <w:sz w:val="18"/>
                <w:szCs w:val="18"/>
                <w:rtl w:val="0"/>
              </w:rPr>
              <w:t xml:space="preserve">3 (4.6%)</w:t>
            </w:r>
            <w:r>
              <w:rPr>
                <w:rtl w:val="0"/>
              </w:rPr>
            </w:r>
          </w:p>
        </w:tc>
        <w:tc>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8">
            <w:pPr>
              <w:spacing w:after="0" w:before="0" w:line="480" w:lineRule="auto"/>
              <w:rPr>
                <w:sz w:val="18"/>
                <w:szCs w:val="18"/>
              </w:rPr>
            </w:pPr>
            <w:r>
              <w:rPr>
                <w:i w:val="0"/>
                <w:iCs w:val="0"/>
                <w:sz w:val="18"/>
                <w:szCs w:val="18"/>
                <w:rtl w:val="0"/>
              </w:rPr>
              <w:t xml:space="preserve">65</w:t>
            </w:r>
            <w:r>
              <w:rPr>
                <w:rtl w:val="0"/>
              </w:rPr>
            </w:r>
          </w:p>
        </w:tc>
      </w:tr>
    </w:tbl>
    <w:p w:rsidR="00000000" w:rsidDel="00000000" w:rsidP="00000000" w:rsidRDefault="00000000" w:rsidRPr="00000000" w14:paraId="00000129">
      <w:pPr>
        <w:spacing w:after="0" w:before="240" w:line="480" w:lineRule="auto"/>
        <w:ind w:firstLine="720"/>
        <w:jc w:val="both"/>
        <w:rPr/>
      </w:pPr>
      <w:r>
        <w:rPr>
          <w:sz w:val="22"/>
          <w:szCs w:val="22"/>
          <w:rtl w:val="0"/>
        </w:rPr>
        <w:t xml:space="preserve">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sz w:val="22"/>
          <w:szCs w:val="22"/>
          <w:rtl w:val="0"/>
        </w:rPr>
        <w:t xml:space="preserve">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Pr>
          <w:rtl w:val="0"/>
        </w:rPr>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Hedge Frequency across Disciplines</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15"/>
        <w:gridCol w:w="1170"/>
        <w:gridCol w:w="900"/>
        <w:gridCol w:w="930"/>
        <w:gridCol w:w="600"/>
        <w:gridCol w:w="1355"/>
        <w:gridCol w:w="1000"/>
        <w:gridCol w:w="1185"/>
        <w:tblGridChange w:id="0">
          <w:tblGrid>
            <w:gridCol w:w="1215"/>
            <w:gridCol w:w="1170"/>
            <w:gridCol w:w="900"/>
            <w:gridCol w:w="930"/>
            <w:gridCol w:w="600"/>
            <w:gridCol w:w="1355"/>
            <w:gridCol w:w="1000"/>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i w:val="0"/>
                <w:iCs w:val="0"/>
                <w:sz w:val="18"/>
                <w:szCs w:val="18"/>
                <w:rtl w:val="0"/>
              </w:rPr>
              <w:t xml:space="preserve">4,300</w:t>
            </w:r>
            <w:r>
              <w:rPr>
                <w:rtl w:val="0"/>
              </w:rPr>
            </w:r>
          </w:p>
        </w:tc>
        <w:tc>
          <w:tcPr/>
          <w:p w:rsidR="00000000" w:rsidDel="00000000" w:rsidP="00000000" w:rsidRDefault="00000000" w:rsidRPr="00000000" w14:paraId="0000013F">
            <w:pPr>
              <w:spacing w:after="0" w:before="0" w:line="480" w:lineRule="auto"/>
              <w:rPr>
                <w:sz w:val="18"/>
                <w:szCs w:val="18"/>
              </w:rPr>
            </w:pPr>
            <w:r>
              <w:rPr>
                <w:i w:val="0"/>
                <w:iCs w:val="0"/>
                <w:sz w:val="18"/>
                <w:szCs w:val="18"/>
                <w:rtl w:val="0"/>
              </w:rPr>
              <w:t xml:space="preserve">27</w:t>
            </w:r>
            <w:r>
              <w:rPr>
                <w:rtl w:val="0"/>
              </w:rPr>
            </w:r>
          </w:p>
        </w:tc>
        <w:tc>
          <w:tcPr/>
          <w:p w:rsidR="00000000" w:rsidDel="00000000" w:rsidP="00000000" w:rsidRDefault="00000000" w:rsidRPr="00000000" w14:paraId="00000140">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i w:val="0"/>
                <w:iCs w:val="0"/>
                <w:sz w:val="18"/>
                <w:szCs w:val="18"/>
                <w:rtl w:val="0"/>
              </w:rPr>
              <w:t xml:space="preserve">0.63</w:t>
            </w:r>
            <w:r>
              <w:rPr>
                <w:rtl w:val="0"/>
              </w:rPr>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32</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p w:rsidR="00000000" w:rsidDel="00000000" w:rsidP="00000000" w:rsidRDefault="00000000" w:rsidRPr="00000000" w14:paraId="00000157">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58">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p w:rsidR="00000000" w:rsidDel="00000000" w:rsidP="00000000" w:rsidRDefault="00000000" w:rsidRPr="00000000" w14:paraId="0000015B">
            <w:pPr>
              <w:spacing w:after="0" w:before="0" w:line="480" w:lineRule="auto"/>
              <w:rPr>
                <w:sz w:val="18"/>
                <w:szCs w:val="18"/>
              </w:rPr>
            </w:pPr>
            <w:r>
              <w:rPr>
                <w:i w:val="0"/>
                <w:iCs w:val="0"/>
                <w:sz w:val="18"/>
                <w:szCs w:val="18"/>
                <w:rtl w:val="0"/>
              </w:rPr>
              <w:t xml:space="preserve">0.47</w:t>
            </w:r>
            <w:r>
              <w:rPr>
                <w:rtl w:val="0"/>
              </w:rPr>
            </w:r>
          </w:p>
        </w:tc>
      </w:tr>
    </w:tbl>
    <w:p w:rsidR="00000000" w:rsidDel="00000000" w:rsidP="00000000" w:rsidRDefault="00000000" w:rsidRPr="00000000" w14:paraId="0000015C">
      <w:pPr>
        <w:spacing w:after="0" w:before="240" w:line="480" w:lineRule="auto"/>
        <w:ind w:firstLine="720"/>
        <w:jc w:val="both"/>
        <w:rPr/>
      </w:pPr>
      <w:r>
        <w:rPr>
          <w:sz w:val="22"/>
          <w:szCs w:val="22"/>
          <w:rtl w:val="0"/>
        </w:rPr>
        <w:t xml:space="preserve">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5D">
      <w:pPr>
        <w:spacing w:after="0" w:before="0" w:line="480" w:lineRule="auto"/>
        <w:ind w:firstLine="720"/>
        <w:jc w:val="both"/>
        <w:rPr/>
      </w:pPr>
      <w:r>
        <w:rPr>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
The overall density (about 0.47 hedges per 100 words) sits near the lower end of published abstract figures (Hu &amp; Cao, 2011). Low density in undergraduate and L2 academic writing is widely reported and is often read as limited stance control rather than as deliberate categorical style (Hyland, 1998; Qiu et al., 2024). In this PSAU sample, the pairwise contrast that survives correction is Biology versus Veterinary Medicine. That is a local English-language pattern in ratified abstracts, not yet a full account of field culture. Supervised abstracts may absorb program tolerance for soft claims as much as individual rhetorical choice. The exploratory tests flag where density differs. They do not by themselves explain why these writers under-use English hedging resources in one program relative to another.</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Rhetorical Functions of Hedging Devices</w:t>
      </w:r>
      <w:r>
        <w:rPr>
          <w:rtl w:val="0"/>
        </w:rPr>
      </w:r>
    </w:p>
    <w:p w:rsidR="00000000" w:rsidDel="00000000" w:rsidP="00000000" w:rsidRDefault="00000000" w:rsidRPr="00000000" w14:paraId="00000163">
      <w:pPr>
        <w:spacing w:after="0" w:before="0" w:line="480" w:lineRule="auto"/>
        <w:ind w:firstLine="720"/>
        <w:jc w:val="both"/>
        <w:rPr/>
      </w:pPr>
      <w:r>
        <w:rPr>
          <w:sz w:val="22"/>
          <w:szCs w:val="22"/>
          <w:rtl w:val="0"/>
        </w:rPr>
        <w:t xml:space="preserve">Table 6 summarizes Step 2 outcomes for the coding pool. Of the retained hedges, all 65 were coded Epistemic Caution (EC). Politeness/Deference is null (P = 0). False positives totaled 58 (FP-Gen 33, FP-Rec 15, FP-Cap 8, FP-Proc 2). Those 58 failed the claim condition or both removal checks (reason codes: FP-Gen, FP-Rec, FP-Cap, FP-Proc). The direct comparison is therefore EC = 65, P = 0, FP = 58.</w:t>
      </w:r>
      <w:r>
        <w:rPr>
          <w:rtl w:val="0"/>
        </w:rPr>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p w:rsidR="00000000" w:rsidDel="00000000" w:rsidP="00000000" w:rsidRDefault="00000000" w:rsidRPr="00000000" w14:paraId="00000173">
            <w:pPr>
              <w:spacing w:after="0" w:before="0" w:line="480" w:lineRule="auto"/>
              <w:rPr>
                <w:sz w:val="18"/>
                <w:szCs w:val="18"/>
              </w:rPr>
            </w:pPr>
            <w:r>
              <w:rPr>
                <w:i w:val="0"/>
                <w:iCs w:val="0"/>
                <w:sz w:val="18"/>
                <w:szCs w:val="18"/>
                <w:rtl w:val="0"/>
              </w:rPr>
              <w:t xml:space="preserve">123</w:t>
            </w:r>
            <w:r>
              <w:rPr>
                <w:rtl w:val="0"/>
              </w:rPr>
            </w:r>
          </w:p>
        </w:tc>
        <w:tc>
          <w:tcPr/>
          <w:p w:rsidR="00000000" w:rsidDel="00000000" w:rsidP="00000000" w:rsidRDefault="00000000" w:rsidRPr="00000000" w14:paraId="00000174">
            <w:pPr>
              <w:spacing w:after="0" w:before="0" w:line="480" w:lineRule="auto"/>
              <w:rPr>
                <w:sz w:val="18"/>
                <w:szCs w:val="18"/>
              </w:rPr>
            </w:pPr>
            <w:r>
              <w:rPr>
                <w:i w:val="0"/>
                <w:iCs w:val="0"/>
                <w:sz w:val="18"/>
                <w:szCs w:val="18"/>
                <w:rtl w:val="0"/>
              </w:rPr>
              <w:t xml:space="preserve">Logged candidates only (65 retained + 58 FP), not every word in the corpus</w:t>
            </w:r>
            <w:r>
              <w:rPr>
                <w:rtl w:val="0"/>
              </w:rPr>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That the retained set is entirely Epistemic Caution is readable against how academic English uses hedges in research prose. Hyland (1996, 1998) treats scientific hedging as a resource for precision, caution, and negotiated commitment to propositions. The central job is epistemic. Writers adjust how far a claim may stand. Salager-Meyer (1994) frames the same work as claim-responsibility management. Hedges distribute responsibility for the accuracy or reach of a statement among the writer, the data, and external conditions. Under those accounts, a retained profile of EC only fits the expected center of scientific English, especially in a short results-facing summary.</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The abstract genre tightens that center. 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 / suggests / suggesting qualify applications or interpretations. Results sentences in the same abstracts often use factive verbs (showed, revealed, demonstrated) without qualification. A formal move-structured count was not performed. The pattern remains qualitative within the present sample, but it aligns with an abstract that reports findings more directly and hedges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as in “the biosynthesis may affect the overall development.” Lexical hedges (41 instances, all EC) qualified the strength of findings or implications, as in “results suggest that fermented banana peel can significantly enhance growth.” Framing and sequencing forms that failed both removal checks sit outside the retained set. They are not included in the 58 category-coded FPs.</w:t>
      </w:r>
      <w:r>
        <w:rPr>
          <w:rtl w:val="0"/>
        </w:rPr>
      </w:r>
    </w:p>
    <w:p w:rsidR="00000000" w:rsidDel="00000000" w:rsidP="00000000" w:rsidRDefault="00000000" w:rsidRPr="00000000" w14:paraId="00000177">
      <w:pPr>
        <w:spacing w:after="0" w:before="0" w:line="480" w:lineRule="auto"/>
        <w:ind w:firstLine="720"/>
        <w:jc w:val="both"/>
        <w:rPr/>
      </w:pPr>
      <w:r>
        <w:rPr>
          <w:sz w:val="22"/>
          <w:szCs w:val="22"/>
          <w:rtl w:val="0"/>
        </w:rPr>
        <w:t xml:space="preserve">For English Language Studies, the finding is therefore best read as a profile of how these ratified abstracts use English to manage knowledge claims. It is not a claim that interpersonal mitigation is absent from student English in every genre. Softened recommendations and pure sequencing were examined and excluded by design. Pure P on claims was allowed by the Reader Test and simply did not appear.
The uniform EC outcome still carries a limit already noted in Scope and Limitations. Intra-rater coding alone cannot settle whether another coder would recover pure P on the same claim sites. What the data support is narrower and safer. Among expressions that passed the claim condition and a removal check in these sixty abstracts, Epistemic Caution was the only function assigned.</w:t>
      </w:r>
      <w:r>
        <w:rPr>
          <w:rtl w:val="0"/>
        </w:rPr>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Cross-Disciplinary Contrasts</w:t>
      </w:r>
      <w:r>
        <w:rPr>
          <w:rtl w:val="0"/>
        </w:rPr>
      </w:r>
    </w:p>
    <w:p w:rsidR="00000000" w:rsidDel="00000000" w:rsidP="00000000" w:rsidRDefault="00000000" w:rsidRPr="00000000" w14:paraId="00000179">
      <w:pPr>
        <w:spacing w:after="0" w:before="0" w:line="480" w:lineRule="auto"/>
        <w:ind w:firstLine="720"/>
        <w:jc w:val="both"/>
        <w:rPr/>
      </w:pPr>
      <w:r>
        <w:rPr>
          <w:sz w:val="22"/>
          <w:szCs w:val="22"/>
          <w:rtl w:val="0"/>
        </w:rPr>
        <w:t xml:space="preserve">Parts I through III established frequency, function, and density differences in this corpus. Part IV asks what those differences amount to once the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r>
        <w:rPr>
          <w:rtl w:val="0"/>
        </w:rPr>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
Acs2 remains a single case,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Binary outcome type does not erase Veterinary Medicine’s lower rates either. Biology Binary abstracts still average more hedges than VM Binary abstracts. Stance language in English is not made unnecessary by a yes/no result design. The corpus therefore supports a limited ELS claim: in these abstracts, density differences track how programs word caution around findings and implications, not only how study designs package results.</w:t>
      </w:r>
      <w:r>
        <w:rPr>
          <w:rtl w:val="0"/>
        </w:rPr>
      </w:r>
    </w:p>
    <w:p w:rsidR="00000000" w:rsidDel="00000000" w:rsidP="00000000" w:rsidRDefault="00000000" w:rsidRPr="00000000" w14:paraId="000001A2">
      <w:pPr>
        <w:spacing w:after="0" w:before="0" w:line="480" w:lineRule="auto"/>
        <w:ind w:firstLine="720"/>
        <w:jc w:val="both"/>
        <w:rPr/>
      </w:pPr>
      <w:r>
        <w:rPr>
          <w:sz w:val="22"/>
          <w:szCs w:val="22"/>
          <w:rtl w:val="0"/>
        </w:rPr>
        <w:t xml:space="preserve">As an English Language Studies account of undergraduate academic English, the study cannot separate genuine field norms from adviser-enforced conventions. The findings describe how caution is worded in ratified English abstracts, not individual cognition. Read as a local baseline for L2 academic English at PSAU, the corpus supports a limited claim: among these three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English textual result, not its causes.</w:t>
      </w:r>
      <w:r>
        <w:rPr>
          <w:rtl w:val="0"/>
        </w:rPr>
      </w:r>
    </w:p>
    <w:p w:rsidR="00000000" w:rsidDel="00000000" w:rsidP="00000000" w:rsidRDefault="00000000" w:rsidRPr="00000000" w14:paraId="000001A3">
      <w:pPr>
        <w:spacing w:after="0" w:before="0" w:line="480" w:lineRule="auto"/>
        <w:ind w:firstLine="720"/>
        <w:jc w:val="both"/>
        <w:rPr/>
      </w:pPr>
      <w:r>
        <w:rPr>
          <w:rtl w:val="0"/>
        </w:rPr>
      </w:r>
    </w:p>
    <w:p w:rsidR="00000000" w:rsidDel="00000000" w:rsidP="00000000" w:rsidRDefault="00000000" w:rsidRPr="00000000" w14:paraId="000001A4">
      <w:pPr>
        <w:spacing w:after="0" w:before="0" w:line="480" w:lineRule="auto"/>
        <w:rPr/>
        <w:sectPr>
          <w:headerReference r:id="rId13" w:type="default"/>
          <w:headerReference r:id="rId1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72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mapped how developing researchers at PSAU used English hedging resources in 60 undergraduate thesis abstracts across Agriculture, Veterinary Medicine, and Biology.</w:t>
      </w:r>
      <w:r>
        <w:rPr>
          <w:rtl w:val="0"/>
        </w:rPr>
      </w:r>
    </w:p>
    <w:p w:rsidR="00000000" w:rsidDel="00000000" w:rsidP="00000000" w:rsidRDefault="00000000" w:rsidRPr="00000000" w14:paraId="000001A8">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linguistics. These texts are supervised products. What looks like a writer’s caution profile may also be a program’s tolerance for soft claims in a high-stakes summary. The data cannot name the cause. They can show the textual outcome.</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C">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in a supporting role.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0">
      <w:pPr>
        <w:spacing w:after="0" w:before="0" w:line="480" w:lineRule="auto"/>
        <w:rPr/>
        <w:sectPr>
          <w:headerReference r:id="rId15" w:type="default"/>
          <w:headerReference r:id="rId16"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7">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18">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19">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20">
        <w:r>
          <w:rPr>
            <w:color w:val="1155cc"/>
            <w:sz w:val="22"/>
            <w:szCs w:val="22"/>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21">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Gillaerts, P., &amp; Van de Velde, F. (2010). Interactional metadiscourse in research article abstracts. Journal of English for Academic Purposes, 9(2), 128-139. https://doi.org/10.1016/j.jeap.2010.02.004</w:t>
      </w:r>
      <w:hyperlink r:id="rId21">
        <w:r>
          <w:rPr>
            <w:color w:val="1155cc"/>
            <w:sz w:val="22"/>
            <w:szCs w:val="22"/>
            <w:u w:val="single"/>
            <w:rtl w:val="0"/>
          </w:rPr>
          <w:t xml:space="preserve"/>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22">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23">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24">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25">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26">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27">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28">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29">
        <w:r>
          <w:rPr>
            <w:color w:val="1155cc"/>
            <w:sz w:val="22"/>
            <w:szCs w:val="22"/>
            <w:u w:val="single"/>
            <w:rtl w:val="0"/>
          </w:rPr>
          <w:t xml:space="preserve">https://doi.org/10.2307/2529310</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0">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1">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32">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33">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34">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hyperlink r:id="rId34">
        <w:r>
          <w:rPr>
            <w:color w:val="1155cc"/>
            <w:sz w:val="22"/>
            <w:szCs w:val="22"/>
            <w:u w:val="single"/>
            <w:rtl w:val="0"/>
          </w:rPr>
          <w:t xml:space="preserve"/>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35">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Saengsuwan, C., &amp; Suwannatrai, L. (2026). Interactional metadiscourse in Thai EFL student essays: A corpus-based study. Rajapark Journal, 20(68), 138-154.</w:t>
      </w:r>
      <w:hyperlink r:id="rId35">
        <w:r>
          <w:rPr>
            <w:color w:val="1155cc"/>
            <w:sz w:val="22"/>
            <w:szCs w:val="22"/>
            <w:u w:val="single"/>
            <w:rtl w:val="0"/>
          </w:rPr>
          <w:t xml:space="preserve"/>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36">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37">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38">
        <w:r>
          <w:rPr>
            <w:color w:val="1155cc"/>
            <w:sz w:val="22"/>
            <w:szCs w:val="22"/>
            <w:u w:val="single"/>
            <w:rtl w:val="0"/>
          </w:rPr>
          <w:t xml:space="preserve">https://doi.org/10.59960/2.a5</w:t>
        </w:r>
      </w:hyperlink>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39">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CC">
      <w:pPr>
        <w:spacing w:after="0" w:before="0" w:line="480" w:lineRule="auto"/>
        <w:ind w:left="720" w:hanging="720"/>
        <w:jc w:val="both"/>
        <w:rPr/>
        <w:sectPr>
          <w:headerReference r:id="rId40" w:type="default"/>
          <w:headerReference r:id="rId41"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CD">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CE">
      <w:pPr>
        <w:spacing w:after="40" w:before="0" w:line="480" w:lineRule="auto"/>
        <w:jc w:val="left"/>
        <w:rPr>
          <w:b w:val="1"/>
          <w:bCs w:val="1"/>
        </w:rPr>
      </w:pPr>
      <w:r>
        <w:rPr>
          <w:rtl w:val="0"/>
        </w:rPr>
      </w:r>
    </w:p>
    <w:p w:rsidR="00000000" w:rsidDel="00000000" w:rsidP="00000000" w:rsidRDefault="00000000" w:rsidRPr="00000000" w14:paraId="000001CF">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0">
      <w:pPr>
        <w:spacing w:after="20" w:before="0" w:line="480" w:lineRule="auto"/>
        <w:ind w:left="360" w:firstLine="0"/>
        <w:jc w:val="both"/>
        <w:rPr/>
      </w:pPr>
      <w:r>
        <w:rPr>
          <w:b w:val="1"/>
          <w:bCs w:val="1"/>
          <w:rtl w:val="0"/>
        </w:rPr>
        <w:t xml:space="preserve">• Lookup: </w:t>
      </w:r>
      <w:r>
        <w:rPr>
          <w:rtl w:val="0"/>
        </w:rPr>
        <w:t xml:space="preserve">Quick-Reference + Legend (p. 1). Full Codebook from p. 2. Coding sheet columns at end.</w:t>
      </w:r>
    </w:p>
    <w:p w:rsidR="00000000" w:rsidDel="00000000" w:rsidP="00000000" w:rsidRDefault="00000000" w:rsidRPr="00000000" w14:paraId="000001D1">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2">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3">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4">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6">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8">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9">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A">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 only.</w:t>
      </w:r>
    </w:p>
    <w:p w:rsidR="00000000" w:rsidDel="00000000" w:rsidP="00000000" w:rsidRDefault="00000000" w:rsidRPr="00000000" w14:paraId="000001DB">
      <w:pPr>
        <w:pageBreakBefore w:val="1"/>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D">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1DE">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DF">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0">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1">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2">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3">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4">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5">
            <w:pPr>
              <w:keepNext w:val="1"/>
              <w:spacing w:after="0" w:before="0" w:line="480" w:lineRule="auto"/>
              <w:jc w:val="both"/>
              <w:rPr>
                <w:sz w:val="18"/>
                <w:szCs w:val="18"/>
              </w:rPr>
            </w:pPr>
            <w:r>
              <w:rPr>
                <w:rtl w:val="0"/>
              </w:rPr>
            </w:r>
          </w:p>
        </w:tc>
      </w:tr>
      <w:tr>
        <w:trPr>
          <w:cantSplit w:val="1"/>
          <w:tblHeader w:val="0"/>
        </w:trPr>
        <w:tc>
          <w:tcPr/>
          <w:p w:rsidR="00000000" w:rsidDel="00000000" w:rsidP="00000000" w:rsidRDefault="00000000" w:rsidRPr="00000000" w14:paraId="000001E6">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p w:rsidR="00000000" w:rsidDel="00000000" w:rsidP="00000000" w:rsidRDefault="00000000" w:rsidRPr="00000000" w14:paraId="000001E8">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9">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A">
      <w:pPr>
        <w:keepNext w:val="1"/>
        <w:spacing w:after="20" w:before="60" w:line="480" w:lineRule="auto"/>
        <w:jc w:val="left"/>
        <w:rPr>
          <w:b w:val="1"/>
          <w:bCs w:val="1"/>
        </w:rPr>
      </w:pPr>
      <w:r>
        <w:rPr>
          <w:rtl w:val="0"/>
        </w:rPr>
      </w:r>
    </w:p>
    <w:p w:rsidR="00000000" w:rsidDel="00000000" w:rsidP="00000000" w:rsidRDefault="00000000" w:rsidRPr="00000000" w14:paraId="000001EB">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EC">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ED">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EE">
      <w:pPr>
        <w:pageBreakBefore w:val="0"/>
        <w:spacing w:after="0" w:before="240" w:line="480" w:lineRule="auto"/>
        <w:jc w:val="left"/>
        <w:rPr>
          <w:sz w:val="24"/>
          <w:szCs w:val="24"/>
        </w:rPr>
      </w:pPr>
      <w:r>
        <w:br w:type="page"/>
      </w:r>
      <w:r>
        <w:rPr>
          <w:b w:val="1"/>
          <w:bCs w:val="1"/>
          <w:sz w:val="24"/>
          <w:szCs w:val="24"/>
          <w:rtl w:val="0"/>
        </w:rPr>
        <w:t xml:space="preserve">FULL CODEBOOK</w:t>
      </w:r>
      <w:r>
        <w:rPr>
          <w:rtl w:val="0"/>
        </w:rPr>
      </w:r>
    </w:p>
    <w:p w:rsidR="00000000" w:rsidDel="00000000" w:rsidP="00000000" w:rsidRDefault="00000000" w:rsidRPr="00000000" w14:paraId="000001EF">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0">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1">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2">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3">
      <w:pPr>
        <w:spacing w:after="40" w:before="0" w:line="480" w:lineRule="auto"/>
        <w:ind w:firstLine="0"/>
        <w:jc w:val="left"/>
        <w:rPr/>
      </w:pPr>
      <w:r>
        <w:rPr>
          <w:b w:val="1"/>
          <w:bCs w:val="1"/>
          <w:sz w:val="22"/>
          <w:szCs w:val="22"/>
          <w:rtl w:val="0"/>
        </w:rPr>
        <w:t xml:space="preserve">• Step 2. </w:t>
      </w:r>
      <w:r>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r>
        <w:rPr>
          <w:rtl w:val="0"/>
        </w:rPr>
      </w:r>
    </w:p>
    <w:p w:rsidR="00000000" w:rsidDel="00000000" w:rsidP="00000000" w:rsidRDefault="00000000" w:rsidRPr="00000000" w14:paraId="000001F4">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only, assign type (modal, lexical, adverbial, clause-level).</w:t>
      </w:r>
      <w:r>
        <w:rPr>
          <w:rtl w:val="0"/>
        </w:rPr>
      </w:r>
    </w:p>
    <w:p w:rsidR="00000000" w:rsidDel="00000000" w:rsidP="00000000" w:rsidRDefault="00000000" w:rsidRPr="00000000" w14:paraId="000001F5">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6">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7">
      <w:pPr>
        <w:spacing w:after="40" w:before="0" w:line="480" w:lineRule="auto"/>
        <w:ind w:firstLine="0"/>
        <w:jc w:val="left"/>
        <w:rPr/>
      </w:pPr>
      <w:r>
        <w:rPr>
          <w:b w:val="1"/>
          <w:bCs w:val="1"/>
          <w:sz w:val="22"/>
          <w:szCs w:val="22"/>
          <w:rtl w:val="0"/>
        </w:rPr>
        <w:t xml:space="preserve">• EC: </w:t>
      </w:r>
      <w:r>
        <w:rPr>
          <w:rFonts w:ascii="Cardo" w:cs="Cardo" w:eastAsia="Cardo" w:hAnsi="Cardo"/>
          <w:sz w:val="22"/>
          <w:szCs w:val="22"/>
          <w:rtl w:val="0"/>
        </w:rPr>
        <w:t xml:space="preserve">“The treatment may reduce infection rates.” Removing may raises truth commitment → EC.</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“Farmers should adopt the treatment” is a directive → FP-Rec.</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EC+P: </w:t>
      </w:r>
      <w:r>
        <w:rPr>
          <w:rFonts w:ascii="Cardo" w:cs="Cardo" w:eastAsia="Cardo" w:hAnsi="Cardo"/>
          <w:sz w:val="22"/>
          <w:szCs w:val="22"/>
          <w:rtl w:val="0"/>
        </w:rPr>
        <w:t xml:space="preserve">Both tests hold on one token → EC+P (or dominant label plus dual note).</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FP: </w:t>
      </w:r>
      <w:r>
        <w:rPr>
          <w:rFonts w:ascii="Cardo" w:cs="Cardo" w:eastAsia="Cardo" w:hAnsi="Cardo"/>
          <w:sz w:val="22"/>
          <w:szCs w:val="22"/>
          <w:rtl w:val="0"/>
        </w:rPr>
        <w:t xml:space="preserve">“In conclusion, T3 produced the highest yield.” Removing the frame changes neither truth commitment nor interpersonal force → FP.</w:t>
      </w:r>
      <w:r>
        <w:rPr>
          <w:rtl w:val="0"/>
        </w:rPr>
      </w:r>
    </w:p>
    <w:p w:rsidR="00000000" w:rsidDel="00000000" w:rsidP="00000000" w:rsidRDefault="00000000" w:rsidRPr="00000000" w14:paraId="000001FC">
      <w:pPr>
        <w:spacing w:after="40" w:before="0" w:line="480" w:lineRule="auto"/>
        <w:ind w:firstLine="0"/>
        <w:jc w:val="left"/>
        <w:rPr/>
      </w:pPr>
      <w:r>
        <w:rPr>
          <w:b w:val="1"/>
          <w:bCs w:val="1"/>
          <w:sz w:val="22"/>
          <w:szCs w:val="22"/>
          <w:rtl w:val="0"/>
        </w:rPr>
        <w:t xml:space="preserve">• Frame + EC: </w:t>
      </w:r>
      <w:r>
        <w:rPr>
          <w:sz w:val="22"/>
          <w:szCs w:val="22"/>
          <w:rtl w:val="0"/>
        </w:rPr>
        <w:t xml:space="preserve">“It should be noted that the results may indicate growth.” Code may as EC. The frame alone is not a second hedge.</w:t>
      </w:r>
      <w:r>
        <w:rPr>
          <w:rtl w:val="0"/>
        </w:rPr>
      </w:r>
    </w:p>
    <w:p w:rsidR="00000000" w:rsidDel="00000000" w:rsidP="00000000" w:rsidRDefault="00000000" w:rsidRPr="00000000" w14:paraId="000001FD">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1FE">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FF">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00">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3">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4">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5">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6">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7">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B">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20F">
            <w:pPr>
              <w:spacing w:after="0" w:before="0" w:line="480" w:lineRule="auto"/>
              <w:jc w:val="left"/>
              <w:rPr>
                <w:sz w:val="18"/>
                <w:szCs w:val="18"/>
              </w:rPr>
            </w:pPr>
            <w:r>
              <w:rPr>
                <w:sz w:val="18"/>
                <w:szCs w:val="18"/>
                <w:shd w:fill="00b050" w:val="clear"/>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Clause-Level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Clause-level phrases framing a claim as tentative.</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3">
      <w:pPr>
        <w:spacing w:after="40" w:before="0" w:line="480" w:lineRule="auto"/>
        <w:ind w:firstLine="0"/>
        <w:jc w:val="left"/>
        <w:rPr>
          <w:b w:val="1"/>
          <w:bCs w:val="1"/>
        </w:rPr>
      </w:pPr>
      <w:r>
        <w:rPr>
          <w:rtl w:val="0"/>
        </w:rPr>
      </w:r>
    </w:p>
    <w:p w:rsidR="00000000" w:rsidDel="00000000" w:rsidP="00000000" w:rsidRDefault="00000000" w:rsidRPr="00000000" w14:paraId="00000214">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Pr>
          <w:rtl w:val="0"/>
        </w:rPr>
      </w:r>
    </w:p>
    <w:p w:rsidR="00000000" w:rsidDel="00000000" w:rsidP="00000000" w:rsidRDefault="00000000" w:rsidRPr="00000000" w14:paraId="00000215">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16">
            <w:pPr>
              <w:spacing w:after="0" w:before="0" w:line="480" w:lineRule="auto"/>
              <w:jc w:val="both"/>
              <w:rPr>
                <w:sz w:val="18"/>
                <w:szCs w:val="18"/>
              </w:rPr>
            </w:pPr>
            <w:r>
              <w:rPr>
                <w:b w:val="1"/>
                <w:bCs w:val="1"/>
                <w:sz w:val="18"/>
                <w:szCs w:val="18"/>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217">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A">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B">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1C">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1D">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8b4513"/>
                <w:sz w:val="18"/>
                <w:szCs w:val="18"/>
                <w:rtl w:val="0"/>
              </w:rPr>
              <w:t xml:space="preserve">FP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(not a function)</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Fails Working Test and Reader Test</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6">
      <w:pPr>
        <w:keepNext w:val="1"/>
        <w:spacing w:after="40" w:before="200" w:line="480" w:lineRule="auto"/>
        <w:ind w:firstLine="0"/>
        <w:jc w:val="left"/>
        <w:rPr>
          <w:b w:val="1"/>
          <w:bCs w:val="1"/>
        </w:rPr>
      </w:pPr>
      <w:r>
        <w:rPr>
          <w:rtl w:val="0"/>
        </w:rPr>
      </w:r>
    </w:p>
    <w:p w:rsidR="00000000" w:rsidDel="00000000" w:rsidP="00000000" w:rsidRDefault="00000000" w:rsidRPr="00000000" w14:paraId="00000227">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8">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9">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2A">
            <w:pPr>
              <w:spacing w:after="0" w:before="0" w:line="480" w:lineRule="auto"/>
              <w:jc w:val="both"/>
              <w:rPr>
                <w:sz w:val="18"/>
                <w:szCs w:val="18"/>
              </w:rPr>
            </w:pPr>
            <w:r>
              <w:rPr>
                <w:b w:val="1"/>
                <w:bCs w:val="1"/>
                <w:sz w:val="18"/>
                <w:szCs w:val="18"/>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2C">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2D">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2E">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2F">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0">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2">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3">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5">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6">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8">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9">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B">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3C">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3E">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3F">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Describes a procedural norm</w:t>
            </w:r>
          </w:p>
        </w:tc>
      </w:tr>
      <w:tr>
        <w:trPr>
          <w:cantSplit w:val="1"/>
          <w:tblHeader w:val="0"/>
        </w:trPr>
        <w:tc>
          <w:tcPr/>
          <w:p w:rsidR="00000000" w:rsidDel="00000000" w:rsidP="00000000" w:rsidRDefault="00000000" w:rsidRPr="00000000" w14:paraId="00000241">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p w:rsidR="00000000" w:rsidDel="00000000" w:rsidP="00000000" w:rsidRDefault="00000000" w:rsidRPr="00000000" w14:paraId="00000242">
            <w:pPr>
              <w:spacing w:after="0" w:before="0" w:line="480" w:lineRule="auto"/>
              <w:jc w:val="both"/>
              <w:rPr>
                <w:sz w:val="18"/>
                <w:szCs w:val="18"/>
              </w:rPr>
            </w:pPr>
            <w:r>
              <w:rPr>
                <w:sz w:val="18"/>
                <w:szCs w:val="18"/>
                <w:rtl w:val="0"/>
              </w:rPr>
              <w:t xml:space="preserve">Expresses result uncertainty</w:t>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4">
      <w:pPr>
        <w:spacing w:after="40" w:before="0" w:line="480" w:lineRule="auto"/>
        <w:ind w:firstLine="0"/>
        <w:jc w:val="left"/>
        <w:rPr/>
      </w:pPr>
      <w:r>
        <w:rPr>
          <w:rtl w:val="0"/>
        </w:rPr>
      </w:r>
    </w:p>
    <w:p w:rsidR="00000000" w:rsidDel="00000000" w:rsidP="00000000" w:rsidRDefault="00000000" w:rsidRPr="00000000" w14:paraId="00000245">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6">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7">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8">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0" w:before="0" w:line="480" w:lineRule="auto"/>
              <w:jc w:val="both"/>
              <w:rPr>
                <w:sz w:val="18"/>
                <w:szCs w:val="18"/>
              </w:rPr>
            </w:pPr>
            <w:r>
              <w:rPr>
                <w:b w:val="1"/>
                <w:bCs w:val="1"/>
                <w:sz w:val="18"/>
                <w:szCs w:val="18"/>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4A">
            <w:pPr>
              <w:spacing w:after="0" w:before="0" w:line="480" w:lineRule="auto"/>
              <w:jc w:val="both"/>
              <w:rPr>
                <w:sz w:val="18"/>
                <w:szCs w:val="18"/>
              </w:rPr>
            </w:pPr>
            <w:r>
              <w:rPr>
                <w:b w:val="1"/>
                <w:bCs w:val="1"/>
                <w:sz w:val="18"/>
                <w:szCs w:val="18"/>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4C">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4D">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4E">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4F">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0">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1">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2">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3">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4">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5">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6">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7">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p w:rsidR="00000000" w:rsidDel="00000000" w:rsidP="00000000" w:rsidRDefault="00000000" w:rsidRPr="00000000" w14:paraId="00000258">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p w:rsidR="00000000" w:rsidDel="00000000" w:rsidP="00000000" w:rsidRDefault="00000000" w:rsidRPr="00000000" w14:paraId="00000259">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p w:rsidR="00000000" w:rsidDel="00000000" w:rsidP="00000000" w:rsidRDefault="00000000" w:rsidRPr="00000000" w14:paraId="0000025A">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B">
      <w:pPr>
        <w:keepNext w:val="1"/>
        <w:spacing w:after="40" w:before="200" w:line="480" w:lineRule="auto"/>
        <w:ind w:firstLine="0"/>
        <w:jc w:val="left"/>
        <w:rPr>
          <w:b w:val="1"/>
          <w:bCs w:val="1"/>
        </w:rPr>
      </w:pPr>
      <w:r>
        <w:rPr>
          <w:rtl w:val="0"/>
        </w:rPr>
      </w:r>
    </w:p>
    <w:p w:rsidR="00000000" w:rsidDel="00000000" w:rsidP="00000000" w:rsidRDefault="00000000" w:rsidRPr="00000000" w14:paraId="0000025C">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5D">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5E">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5F">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0">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2">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6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6">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7">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8">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9">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Causal Claim [C]</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Cause-effect stated as established.</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2">
      <w:pPr>
        <w:keepNext w:val="1"/>
        <w:pageBreakBefore w:val="1"/>
        <w:spacing w:after="40" w:before="200" w:line="480" w:lineRule="auto"/>
        <w:ind w:firstLine="0"/>
        <w:jc w:val="left"/>
        <w:rPr>
          <w:sz w:val="24"/>
          <w:szCs w:val="24"/>
        </w:rPr>
      </w:pPr>
      <w:r>
        <w:rPr>
          <w:b w:val="1"/>
          <w:bCs w:val="1"/>
          <w:sz w:val="24"/>
          <w:szCs w:val="24"/>
          <w:rtl w:val="0"/>
        </w:rPr>
        <w:t xml:space="preserve">CODING SHEET COLUMNS</w:t>
      </w:r>
      <w:r>
        <w:rPr>
          <w:rtl w:val="0"/>
        </w:rPr>
      </w:r>
    </w:p>
    <w:tbl>
      <w:tblPr>
        <w:tblStyle w:val="Table14"/>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73">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74">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7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C">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5"/>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0">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1">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8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6"/>
        <w:tblW w:w="8291.999999999998"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215"/>
        <w:gridCol w:w="1110"/>
        <w:gridCol w:w="915"/>
        <w:gridCol w:w="900"/>
        <w:gridCol w:w="1038"/>
        <w:gridCol w:w="1038"/>
        <w:gridCol w:w="1038"/>
        <w:gridCol w:w="1038"/>
        <w:tblGridChange w:id="0">
          <w:tblGrid>
            <w:gridCol w:w="1215"/>
            <w:gridCol w:w="1110"/>
            <w:gridCol w:w="915"/>
            <w:gridCol w:w="900"/>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D">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E">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Pr>
                <w:b w:val="1"/>
                <w:bCs w:val="1"/>
                <w:sz w:val="18"/>
                <w:szCs w:val="18"/>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95">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D">
      <w:pPr>
        <w:spacing w:after="40" w:before="0" w:line="480" w:lineRule="auto"/>
        <w:ind w:firstLine="0"/>
        <w:jc w:val="left"/>
        <w:rPr>
          <w:b w:val="1"/>
          <w:bCs w:val="1"/>
        </w:rPr>
      </w:pPr>
      <w:r>
        <w:rPr>
          <w:rtl w:val="0"/>
        </w:rPr>
      </w:r>
    </w:p>
    <w:p w:rsidR="00000000" w:rsidDel="00000000" w:rsidP="00000000" w:rsidRDefault="00000000" w:rsidRPr="00000000" w14:paraId="0000029E">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9F">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0">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1">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rPr>
          <w:rtl w:val="0"/>
        </w:rPr>
      </w:r>
    </w:p>
    <w:p w:rsidR="00000000" w:rsidDel="00000000" w:rsidP="00000000" w:rsidRDefault="00000000" w:rsidRPr="00000000" w14:paraId="000002A2">
      <w:pPr>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3">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4">
      <w:pPr>
        <w:spacing w:after="0" w:before="0" w:line="480" w:lineRule="auto"/>
        <w:ind w:firstLine="720"/>
        <w:jc w:val="both"/>
        <w:rPr/>
      </w:pPr>
      <w:r>
        <w:rPr>
          <w:rtl w:val="0"/>
        </w:rPr>
      </w:r>
    </w:p>
    <w:p w:rsidR="00000000" w:rsidDel="00000000" w:rsidP="00000000" w:rsidRDefault="00000000" w:rsidRPr="00000000" w14:paraId="000002A5">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6">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7">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8">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9">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A">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B">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AC">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AD">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AE">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AF">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0">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2">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3">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4">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8">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9">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A">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B">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E">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0">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1">
      <w:pPr>
        <w:spacing w:after="0" w:before="0" w:line="480" w:lineRule="auto"/>
        <w:ind w:firstLine="720"/>
        <w:jc w:val="both"/>
        <w:rPr/>
        <w:sectPr>
          <w:headerReference r:id="rId42" w:type="default"/>
          <w:headerReference r:id="rId43"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C2">
      <w:pPr>
        <w:keepNext w:val="1"/>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3">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4">
      <w:pPr>
        <w:spacing w:after="0" w:before="0" w:line="480" w:lineRule="auto"/>
        <w:ind w:firstLine="720"/>
        <w:jc w:val="both"/>
        <w:rPr/>
      </w:pPr>
      <w:r>
        <w:rPr>
          <w:rtl w:val="0"/>
        </w:rPr>
      </w:r>
    </w:p>
    <w:p w:rsidR="00000000" w:rsidDel="00000000" w:rsidP="00000000" w:rsidRDefault="00000000" w:rsidRPr="00000000" w14:paraId="000002C5">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6">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7">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8">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9">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A">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A">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DE">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by the reduction of DPPH radicals. The TLC-MTT overlay assay showed that the extract exhibits antibacterial activity against S. aureus but was ineffective against E. coli,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selective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The findings indicate that P. propinquum fruit ethanolic extract contains bioactive compounds with antioxidant and selective antibacterial properties. Further studies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focus on the isolation and characterization of its active compounds, their mechanisms of action, and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pharmaceutical applications.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EF">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0">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1">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2">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3">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6">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A">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8">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9">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A">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B">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1C">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statistical significance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observed, the mycorrhiza treatment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still offer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the differences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significant in the study, the researchers believe that mycorrhiza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for plant growth. Further research </w:t>
      </w:r>
      <w:r>
        <w:rPr>
          <w:strike w:val="1"/>
          <w:color w:val="000000"/>
          <w:sz w:val="22"/>
          <w:szCs w:val="22"/>
          <w:rtl w:val="0"/>
        </w:rPr>
        <w:t xml:space="preserve">could</w:t>
      </w:r>
      <w:r>
        <w:rPr>
          <w:strike w:val="0"/>
          <w:color w:val="808080"/>
          <w:sz w:val="22"/>
          <w:szCs w:val="22"/>
          <w:rtl w:val="0"/>
        </w:rPr>
        <w:t xml:space="preserve"> (FP-Gen)</w:t>
      </w:r>
      <w:r>
        <w:rPr>
          <w:strike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8">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Acs9 · 170 words · 2 hedges · 1.18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soaking sugarcane setts in Azospirillum spp. biofertilizer for 24 hours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2D">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2E">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2F">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0">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1">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Aas3 · 296 words · 2 hedges · 0.68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0"/>
          <w:color w:val="ffffff"/>
          <w:sz w:val="22"/>
          <w:szCs w:val="22"/>
          <w:highlight w:val="red"/>
          <w:rtl w:val="0"/>
        </w:rPr>
        <w:t xml:space="preserve">implies</w:t>
      </w:r>
      <w:r>
        <w:rPr>
          <w:strike w:val="0"/>
          <w:color w:val="ed7d31"/>
          <w:sz w:val="22"/>
          <w:szCs w:val="22"/>
          <w:rtl w:val="0"/>
        </w:rPr>
        <w:t xml:space="preserve"> (EC)</w:t>
      </w:r>
      <w:r>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also be concluded that D1 rice bran mixed with water spinach and with golden apple snail used in the study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44" w:type="default"/>
      <w:headerReference r:id="rId45"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 w:type="table" w:styleId="Table15">
    <w:basedOn w:val="TableNormal"/>
    <w:tblPr>
      <w:tblStyleRowBandSize w:val="1"/>
      <w:tblStyleColBandSize w:val="1"/>
      <w:tblCellMar>
        <w:top w:w="20.0" w:type="dxa"/>
        <w:left w:w="40.0" w:type="dxa"/>
        <w:bottom w:w="20.0" w:type="dxa"/>
        <w:right w:w="40.0" w:type="dxa"/>
      </w:tblCellMar>
    </w:tblPr>
  </w:style>
  <w:style w:type="table" w:styleId="Table16">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40" Type="http://schemas.openxmlformats.org/officeDocument/2006/relationships/header" Target="header10.xml"/><Relationship Id="rId20" Type="http://schemas.openxmlformats.org/officeDocument/2006/relationships/hyperlink" Target="https://doi.org/10.22161/ijels.101.2" TargetMode="External"/><Relationship Id="rId42" Type="http://schemas.openxmlformats.org/officeDocument/2006/relationships/header" Target="header12.xml"/><Relationship Id="rId41" Type="http://schemas.openxmlformats.org/officeDocument/2006/relationships/header" Target="header11.xml"/><Relationship Id="rId22" Type="http://schemas.openxmlformats.org/officeDocument/2006/relationships/hyperlink" Target="https://pmc.ncbi.nlm.nih.gov/articles/PMC12584097/" TargetMode="External"/><Relationship Id="rId44" Type="http://schemas.openxmlformats.org/officeDocument/2006/relationships/header" Target="header14.xml"/><Relationship Id="rId21" Type="http://schemas.openxmlformats.org/officeDocument/2006/relationships/hyperlink" Target="https://doi.org/10.18485/bells.2022.14.2" TargetMode="External"/><Relationship Id="rId43" Type="http://schemas.openxmlformats.org/officeDocument/2006/relationships/header" Target="header13.xml"/><Relationship Id="rId24" Type="http://schemas.openxmlformats.org/officeDocument/2006/relationships/hyperlink" Target="https://doi.org/10.1093/applin/17.4.433" TargetMode="External"/><Relationship Id="rId23" Type="http://schemas.openxmlformats.org/officeDocument/2006/relationships/hyperlink" Target="https://doi.org/10.1016/j.pragma.2011.04.007" TargetMode="Externa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i.org/10.1016/S1060-3743(97)90033-3" TargetMode="External"/><Relationship Id="rId25" Type="http://schemas.openxmlformats.org/officeDocument/2006/relationships/hyperlink" Target="https://doi.org/10.1177/1461445605050365" TargetMode="External"/><Relationship Id="rId28" Type="http://schemas.openxmlformats.org/officeDocument/2006/relationships/hyperlink" Target="https://doi.org/10.61508/refl.v32i2.282512" TargetMode="External"/><Relationship Id="rId27" Type="http://schemas.openxmlformats.org/officeDocument/2006/relationships/hyperlink" Target="https://doi.org/10.13189/lls.2024.120301"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doi.org/10.2307/2529310"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34007/jehss.v4i3.925" TargetMode="External"/><Relationship Id="rId30" Type="http://schemas.openxmlformats.org/officeDocument/2006/relationships/hyperlink" Target="https://doi.org/10.47772/IJRISS.2025.91100485" TargetMode="External"/><Relationship Id="rId11" Type="http://schemas.openxmlformats.org/officeDocument/2006/relationships/header" Target="header4.xml"/><Relationship Id="rId33" Type="http://schemas.openxmlformats.org/officeDocument/2006/relationships/hyperlink" Target="https://doi.org/10.33369/jeet.8.1.202-218" TargetMode="External"/><Relationship Id="rId10" Type="http://schemas.openxmlformats.org/officeDocument/2006/relationships/header" Target="header3.xml"/><Relationship Id="rId32" Type="http://schemas.openxmlformats.org/officeDocument/2006/relationships/hyperlink" Target="https://core.ac.uk/download/78277430.pdf" TargetMode="External"/><Relationship Id="rId13" Type="http://schemas.openxmlformats.org/officeDocument/2006/relationships/header" Target="header6.xml"/><Relationship Id="rId35" Type="http://schemas.openxmlformats.org/officeDocument/2006/relationships/hyperlink" Target="https://doi.org/10.1016/0889-4906(94)90013-2" TargetMode="External"/><Relationship Id="rId12" Type="http://schemas.openxmlformats.org/officeDocument/2006/relationships/header" Target="header5.xml"/><Relationship Id="rId34" Type="http://schemas.openxmlformats.org/officeDocument/2006/relationships/hyperlink" Target="https://e-flt.nus.edu.sg/wp-content/uploads/2020/09/petchkij.pdf" TargetMode="External"/><Relationship Id="rId15" Type="http://schemas.openxmlformats.org/officeDocument/2006/relationships/header" Target="header8.xml"/><Relationship Id="rId37" Type="http://schemas.openxmlformats.org/officeDocument/2006/relationships/hyperlink" Target="https://journal2.upgris.ac.id/index.php/eternal/article/view/1059" TargetMode="External"/><Relationship Id="rId14" Type="http://schemas.openxmlformats.org/officeDocument/2006/relationships/header" Target="header7.xml"/><Relationship Id="rId36" Type="http://schemas.openxmlformats.org/officeDocument/2006/relationships/hyperlink" Target="https://revue.umc.edu.dz/h/article/view/4015" TargetMode="External"/><Relationship Id="rId17" Type="http://schemas.openxmlformats.org/officeDocument/2006/relationships/hyperlink" Target="https://doi.org/10.1016/j.sbspro.2014.05.290" TargetMode="External"/><Relationship Id="rId39" Type="http://schemas.openxmlformats.org/officeDocument/2006/relationships/hyperlink" Target="https://osf.io/preprints/edarxiv/5xj27" TargetMode="External"/><Relationship Id="rId16" Type="http://schemas.openxmlformats.org/officeDocument/2006/relationships/header" Target="header9.xml"/><Relationship Id="rId38" Type="http://schemas.openxmlformats.org/officeDocument/2006/relationships/hyperlink" Target="https://doi.org/10.59960/2.a5" TargetMode="External"/><Relationship Id="rId19" Type="http://schemas.openxmlformats.org/officeDocument/2006/relationships/hyperlink" Target="https://files.eric.ed.gov/fulltext/EJ1201945.pdf" TargetMode="External"/><Relationship Id="rId18" Type="http://schemas.openxmlformats.org/officeDocument/2006/relationships/hyperlink" Target="https://doi.org/10.1016/S0889-4906(97)00007-0" TargetMode="Externa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