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type-function pairings to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b w:val="1"/>
          <w:bCs w:val="1"/>
          <w:rtl w:val="0"/>
        </w:rPr>
        <w:t xml:space="preserve">For writing instructors and thesis advisers at PSAU, </w:t>
      </w:r>
      <w:r>
        <w:rPr>
          <w:rFonts w:ascii="Georgia" w:hAnsi="Georgia" w:cs="Georgia" w:eastAsia="Georgia"/>
          <w:b w:val="0"/>
          <w:bCs w:val="0"/>
          <w:rtl w:val="0"/>
        </w:rPr>
        <w:t xml:space="preserve">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b w:val="1"/>
          <w:bCs w:val="1"/>
          <w:rtl w:val="0"/>
        </w:rPr>
        <w:t xml:space="preserve">For academic writing researchers, </w:t>
      </w:r>
      <w:r>
        <w:rPr>
          <w:rFonts w:ascii="Georgia" w:hAnsi="Georgia" w:cs="Georgia" w:eastAsia="Georgia"/>
          <w:b w:val="0"/>
          <w:bCs w:val="0"/>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b w:val="1"/>
          <w:bCs w:val="1"/>
          <w:rtl w:val="0"/>
        </w:rPr>
        <w:t xml:space="preserve">For the BAELS program, </w:t>
      </w:r>
      <w:r>
        <w:rPr>
          <w:rFonts w:ascii="Georgia" w:hAnsi="Georgia" w:cs="Georgia" w:eastAsia="Georgia"/>
          <w:b w:val="0"/>
          <w:bCs w:val="0"/>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b w:val="1"/>
          <w:bCs w:val="1"/>
          <w:rtl w:val="0"/>
        </w:rPr>
        <w:t xml:space="preserve">For future researchers, </w:t>
      </w:r>
      <w:r>
        <w:rPr>
          <w:rFonts w:ascii="Georgia" w:hAnsi="Georgia" w:cs="Georgia" w:eastAsia="Georgia"/>
          <w:b w:val="0"/>
          <w:bCs w:val="0"/>
          <w:rtl w:val="0"/>
        </w:rPr>
        <w:t xml:space="preserve">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Chi-Square Test of Independence, </w:t>
      </w:r>
      <w:r>
        <w:rPr>
          <w:rFonts w:ascii="Georgia" w:cs="Georgia" w:eastAsia="Georgia" w:hAnsi="Georgia"/>
          <w:b w:val="0"/>
          <w:bCs w:val="0"/>
          <w:i w:val="0"/>
          <w:iCs w:val="0"/>
          <w:sz w:val="22"/>
          <w:szCs w:val="22"/>
          <w:rtl w:val="0"/>
        </w:rPr>
        <w:t xml:space="preserve">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Cohen’s Kappa (κ), </w:t>
      </w:r>
      <w:r>
        <w:rPr>
          <w:rFonts w:ascii="Georgia" w:cs="Georgia" w:eastAsia="Georgia" w:hAnsi="Georgia"/>
          <w:b w:val="0"/>
          <w:bCs w:val="0"/>
          <w:i w:val="0"/>
          <w:iCs w:val="0"/>
          <w:sz w:val="22"/>
          <w:szCs w:val="22"/>
          <w:rtl w:val="0"/>
        </w:rPr>
        <w:t xml:space="preserve">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Epistemic Weight, </w:t>
      </w:r>
      <w:r>
        <w:rPr>
          <w:rFonts w:ascii="Georgia" w:cs="Georgia" w:eastAsia="Georgia" w:hAnsi="Georgia"/>
          <w:b w:val="0"/>
          <w:bCs w:val="0"/>
          <w:i w:val="0"/>
          <w:iCs w:val="0"/>
          <w:sz w:val="22"/>
          <w:szCs w:val="22"/>
          <w:rtl w:val="0"/>
        </w:rPr>
        <w:t xml:space="preserve">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Kruskal-Wallis Test, </w:t>
      </w:r>
      <w:r>
        <w:rPr>
          <w:rFonts w:ascii="Georgia" w:cs="Georgia" w:eastAsia="Georgia" w:hAnsi="Georgia"/>
          <w:b w:val="0"/>
          <w:bCs w:val="0"/>
          <w:i w:val="0"/>
          <w:iCs w:val="0"/>
          <w:sz w:val="22"/>
          <w:szCs w:val="22"/>
          <w:rtl w:val="0"/>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Rescue-Hedging (Rescue Framing), </w:t>
      </w:r>
      <w:r>
        <w:rPr>
          <w:rFonts w:ascii="Georgia" w:cs="Georgia" w:eastAsia="Georgia" w:hAnsi="Georgia"/>
          <w:b w:val="0"/>
          <w:bCs w:val="0"/>
          <w:i w:val="0"/>
          <w:iCs w:val="0"/>
          <w:sz w:val="22"/>
          <w:szCs w:val="22"/>
          <w:rtl w:val="0"/>
        </w:rPr>
        <w:t xml:space="preserve">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Softening, </w:t>
      </w:r>
      <w:r>
        <w:rPr>
          <w:rFonts w:ascii="Georgia" w:cs="Georgia" w:eastAsia="Georgia" w:hAnsi="Georgia"/>
          <w:b w:val="0"/>
          <w:bCs w:val="0"/>
          <w:i w:val="0"/>
          <w:iCs w:val="0"/>
          <w:sz w:val="22"/>
          <w:szCs w:val="22"/>
          <w:rtl w:val="0"/>
        </w:rPr>
        <w:t xml:space="preserve">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t xml:space="preserve">e. Data Analysis. </w:t>
      </w:r>
      <w:r>
        <w:rPr>
          <w:rFonts w:ascii="Georgia" w:hAnsi="Georgia" w:cs="Georgia" w:eastAsia="Georgia"/>
          <w:i w:val="0"/>
          <w:iCs w:val="0"/>
          <w:sz w:val="22"/>
          <w:szCs w:val="22"/>
          <w:rtl w:val="0"/>
          <w:b w:val="0"/>
          <w:bCs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val="1"/>
          <w:tblHeader w:val="1"/>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val="1"/>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val="1"/>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val="1"/>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val="1"/>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val="1"/>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val="1"/>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sz w:val="22"/>
          <w:szCs w:val="22"/>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Stage 1: retain if removing the device makes a knowledge claim more categorical or more direct, or reduces imposition in how that claim is put forward (not directives). Working Test: used at Stage 2 to support EC when commitment to the proposition changes. Worked examples appear under Working Examples in the full codebook below.</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Stage 1 (retention). Retain an expression if removing it makes a knowledge claim about findings more categorical or more direct in context, or reduces interpersonal imposition in how that claim is put forward. The gate is inclusive of epistemic, politeness, and discourse-managing mitigation of claims. It does not admit deontic directives (recommendations, obligations), capability statements, pure procedure, pure move sequencing, or topic-naming without force reduction on a claim. Stage 2 (function). Label each retained item EC, P, and/or DO by dominant function. Co-occurrence is allowed. Working Test (EC diagnostic). For distinguishing epistemic effect, ask whether removing the device changes commitment to the truth of the proposition. Use this to support an EC label, not as the only Stage 1 membership test. Phrases that only point to evidence for a claim already asserted elsewhere (e.g., "as indicated by X") still fail Stage 1 when they do not reduce force, directness, or imposition.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Softening is broader than epistemic qualification. Stage 1 admits softening of force, directness, or imposition, including interpersonal and discourse-managing uses. The Working Test then helps decide whether a retained item is EC (commitment to the proposition changes) as opposed to primarily P or DO. P-only or DO-only items can be retained at Stage 1 when they reduce imposition or frame uptake, even if certainty is unchanged.</w:t>
      </w:r>
      <w:r>
        <w:rPr>
          <w:rtl w:val="0"/>
        </w:rPr>
      </w:r>
    </w:p>
    <w:p w:rsidR="00000000" w:rsidDel="00000000" w:rsidP="00000000" w:rsidRDefault="00000000" w:rsidRPr="00000000" w14:paraId="000001BA">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Deontic language (obligation/recommendation) is never retained at Stage 1,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“can” is a hedge only for possibility, not capability. “suggest” is a hedge only for a finding, not a recommendation.</w:t>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1"/>
          <w:iCs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1BC">
      <w:pPr>
        <w:spacing w:before="120" w:after="60" w:line="360" w:lineRule="auto"/>
        <w:ind w:firstLine="720"/>
        <w:jc w:val="both"/>
        <w:rPr/>
      </w:pPr>
      <w:r>
        <w:rPr>
          <w:rFonts w:ascii="Georgia" w:cs="Georgia" w:eastAsia="Georgia" w:hAnsi="Georgia"/>
          <w:b w:val="0"/>
          <w:bCs w:val="0"/>
          <w:i w:val="0"/>
          <w:iCs w:val="0"/>
          <w:sz w:val="22"/>
          <w:szCs w:val="22"/>
          <w:rtl w:val="0"/>
        </w:rPr>
        <w:t xml:space="preserve">Coding order: read the sentence in full, apply Stage 1 (force / directness / imposition), check Decision Rules and false-positive exclusions, assign Stage 2 function (EC, P, and/or DO), use the Working Test when deciding whether EC applies, and log unresolved cases in Coder Notes rather than guessing.</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Function labels (EC, P, DO) are applied after Stage 1 retention. Stage 1 asks whether removing the expression makes a knowledge claim more categorical or more direct, or softens imposition on that claim (not a directive). The Working Test asks whether commitment to the proposition’s truth changes; it supports EC labeling and does not by itself bar P or DO. The examples below separate retention from function.</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Epistemic Caution (EC) as hedge. “The treatment may reduce infection rates.” Removing may raises certainty about the finding. Working Test: pass. Code as hedge; function EC.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Not a hedge (capability / false positive). “PCR can detect low concentrations.” Removing can does not change commitment to a research claim; can marks capability. Working Test: fail. Code FP-Cap, not a hedge.</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Politeness / Deference (P), Stage 1 pass possible. “As suggested by previous researchers, the treatment is effective.” Removing As suggested by previous researchers makes the claim more direct and less deferential. Stage 1: pass (reduced imposition). Working Test for EC: fail (certainty unchanged). Stage 2: P, not EC. Count as a hedge/mitigation device with function P.</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Both P and EC (Stage 1 pass; Stage 2 EC with P co-occurring). “We would suggest that the treatment may be less effective than earlier reports claimed.” Removing would suggest / may makes the criticism more categorical and more imposing. Stage 1: pass. Working Test for EC: pass. Stage 2: EC primary, P co-occurring (deference and softened disagreement).</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Discourse Organization (DO), Stage 1 pass when framing uptake. “It should be noted that the treatment increased plant height.” Removing It should be noted that removes reader guidance and can make the point land more bluntly. Stage 1: pass if the phrase frames how the claim is taken. Working Test for EC: fail. Stage 2: DO. Pure sequence markers (Thus, Therefore, Hence, In conclusion) that only order moves still fail Stage 1 and are not counted.</w:t>
      </w:r>
      <w:r>
        <w:rPr>
          <w:rtl w:val="0"/>
        </w:rPr>
      </w:r>
    </w:p>
    <w:p w:rsidR="00000000" w:rsidDel="00000000" w:rsidP="00000000" w:rsidRDefault="00000000" w:rsidRPr="00000000" w14:paraId="00000083">
      <w:pPr>
        <w:spacing w:before="0" w:after="0" w:line="360" w:lineRule="auto"/>
        <w:ind w:firstLine="720"/>
        <w:jc w:val="both"/>
        <w:rPr/>
      </w:pPr>
      <w:r>
        <w:rPr>
          <w:rFonts w:ascii="Georgia" w:cs="Georgia" w:eastAsia="Georgia" w:hAnsi="Georgia"/>
          <w:b w:val="0"/>
          <w:bCs w:val="0"/>
          <w:i w:val="0"/>
          <w:iCs w:val="0"/>
          <w:sz w:val="22"/>
          <w:szCs w:val="22"/>
          <w:rtl w:val="0"/>
        </w:rPr>
        <w:t xml:space="preserve">DO-looking frame with a separate hedge. “It should be noted that the results may indicate a positive effect.” It should be noted that fails the Working Test on its own. may indicate passes. Code only may indicate as the hedge (EC). Do not treat the whole clause as one hedge because a later token is epistemic.</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0"/>
          <w:bCs w:val="0"/>
          <w:i w:val="0"/>
          <w:iCs w:val="0"/>
          <w:sz w:val="22"/>
          <w:szCs w:val="22"/>
          <w:rtl w:val="0"/>
        </w:rPr>
        <w:t xml:space="preserve">Summary rule. Stage 1 can retain P-only or DO-only items when they reduce force, directness, or imposition even if certainty is unchanged. Stage 2 labels EC, P, and/or DO. The Working Test supports EC, not exclusive membership. In this corpus, every token retained in the coded set was labeled EC; no P candidates appeared in the abstracts, and sequence-only DO markers were not counted as hedges. Full corpus pass under this Stage 1 rule: recommendation/deontic forms (FP-Rec), capability (FP-Cap), procedural norms (FP-Proc), topic-naming and factive restatement (FP-Gen), pure sequence connectives (Hence/Thus/Therefore/In conclusion as move markers), and framing adverbs such as Overall remained excluded. No politeness/deference forms were present in the 60 abstracts. No additional tokens were promoted into the retained set; n=65 and all-EC function counts are unchanged.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20" w:after="20" w:line="360" w:lineRule="auto"/>
        <w:ind w:firstLine="720"/>
        <w:jc w:val="both"/>
        <w:rPr/>
      </w:pPr>
      <w:r>
        <w:rPr>
          <w:rFonts w:ascii="Georgia" w:cs="Georgia" w:eastAsia="Georgia" w:hAnsi="Georgia"/>
          <w:i w:val="0"/>
          <w:iCs w:val="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becomes "presence of mycobacterial infections"), the token is coded Lexical EC even in an aim or rationale sentence. Pure topic-naming aims leave a research-object name when the token is removed and remain FP-Gen. </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384"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384"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384"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384"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384"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384"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384"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384"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384"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384"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384"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384"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384"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384"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384"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384"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384"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384"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384"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384"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384"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384"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384"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384"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384"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384"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384"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384"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384"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384"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hAnsi="Georgia" w:cs="Georgia" w:eastAsia="Georgia"/>
          <w:b w:val="0"/>
          <w:bCs w:val="0"/>
          <w:i w:val="0"/>
          <w:iCs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hAnsi="Georgia" w:cs="Georgia" w:eastAsia="Georgia"/>
          <w:b w:val="0"/>
          <w:bCs w:val="0"/>
          <w:i w:val="0"/>
          <w:iCs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The study would (FP-Gen)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(DO),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[R]. This study is essential for getting insights into eco-brick manufacture because the workability of SUPs and UCOs as raw materials is proven. The research findings do not apply to buildings [G]. Therefore (DO), further research will (FP-Gen) aid in underlining the importance of optimizing the ingredient ratios to acquire desirable quality eco-bricks for sustainable construction applications.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(DO),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shd w:fill="00b0f0" w:val="clear"/>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rFonts w:ascii="Georgia" w:hAnsi="Georgia" w:cs="Georgia" w:eastAsia="Georgia"/>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[R]. There were variations in the mean antibody titer measured among samples.</w:t>
      </w:r>
      <w:r>
        <w:rPr>
          <w:rFonts w:ascii="Georgia" w:cs="Georgia" w:eastAsia="Georgia" w:hAnsi="Georgia"/>
          <w:b w:val="1"/>
          <w:bCs w:val="1"/>
          <w:strike w:val="0"/>
          <w:color w:val="000000"/>
          <w:sz w:val="22"/>
          <w:szCs w:val="22"/>
          <w:shd w:fill="bfbfbf" w:val="clear"/>
          <w:rtl w:val="0"/>
        </w:rPr>
      </w:r>
      <w:r>
        <w:rPr>
          <w:rFonts w:ascii="Georgia" w:cs="Georgia" w:eastAsia="Georgia" w:hAnsi="Georgia"/>
          <w:b w:val="1"/>
          <w:bCs w:val="1"/>
          <w:i w:val="0"/>
          <w:iCs w:val="0"/>
          <w:color w:val="00000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indicated (FP-Gen) that knowledge significantly predicted self-assessed awareness, while personal experience did not. The findings highlight critical knowledge gaps and underscore the need for targeted educational interventions using accessible media such as social platforms.</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potential (EC) of butterfly pea flower aqueous extract in improving the survival of zebrafish at its larval stage.</w:t>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indicating (FP-Gen)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(DO), the use of rice hull and vermicompost significantly enhanced the growth and survival of Adansonii. These findings highlight their potential (EC) as effective, low-cost, and sustainable soil amendments for ornamental and horticultural cultivation, offering practical options for growers seeking eco-friendly methods to improve plant performance.</w:t>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808080"/>
          <w:sz w:val="20"/>
          <w:szCs w:val="20"/>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ffffff"/>
          <w:sz w:val="22"/>
          <w:szCs w:val="22"/>
          <w:highlight w:val="red"/>
          <w:rtl w:val="0"/>
        </w:rPr>
      </w:r>
      <w:r>
        <w:rPr>
          <w:rFonts w:ascii="Georgia" w:cs="Georgia" w:eastAsia="Georgia" w:hAnsi="Georgia"/>
          <w:b w:val="1"/>
          <w:bCs w:val="1"/>
          <w:i w:val="0"/>
          <w:iCs w:val="0"/>
          <w:color w:val="ed7d31"/>
          <w:sz w:val="20"/>
          <w:szCs w:val="20"/>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both"/>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[R]. However, mortality rate and moisture content were not significant after 6 hours and 24 hours [R]. Therefore (DO), it is recommended (FP-Rec) for future researchers to add Diatomaceous earth and neem tree extract and check the humidity. Extend data collection for 72 hours and 96 hours for future study.</w:t>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sz w:val="22"/>
          <w:szCs w:val="22"/>
          <w:rtl w:val="0"/>
          <w:color w:val="00B0F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