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 is the low-caution corner of this sample. Many of its abstracts report findings in direct English and rarely open the kind of implication sentence where writers elsewhere add potential, suggest, or a modal softener. On the Table 4 counts, that shows up as fewer retained hedges and more abstracts with none at all. Whether that pattern comes mainly from supervision, from local reporting habits, or from both cannot be settled from the abstracts alone.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where many abstracts stay with direct results wording and never open an implication frame that would invite softening.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