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
        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two paired removal checks. The Working Test asks whether removing the device changes commitment to the truth of the proposition. If it does, the token is retained as Epistemic Caution (EC). The Reader Test asks whether, when truth-commitment stays the same, removing the device makes the claim more imposing, unattributed, or confrontational toward readers or prior work. If it does, the token is retained as Politeness/Deference (P). If neither check is met, the token is not a hedge and is logged as a false positive (FP). FP is a residual record, not a function label. The only function labels are P and EC (EC+P when both checks hold on one token). Step 3 assigned grammatical type (modal, lexical, adverbial, clause-level) to retained P and EC tokens only. In this corpus all 65 retained hedges were EC. No P forms appeared. RQ3 reports the functional profile of retained hedges (P versus EC). RQ4 is answered from frequency patterns together with interpretive reading under the lenses named above. Figure 1 remains the study overview figure and is a placeholder for a later update to match this pipeline.
    </w:t>
      </w:r>
      <w:r>
        <w:rPr>
          <w:rtl w:val="0"/>
        </w:rPr>
      </w:r>
    </w:p>
    <w:p>
      <w:pPr>
        <w:spacing w:before="0" w:after="0" w:line="480" w:lineRule="auto"/>
        <w:ind w:firstLine="720"/>
        <w:jc w:val="both"/>
        <w:rPr/>
      </w:pPr>
      <w:r>
        <w:rPr>
          <w:rFonts w:ascii="Georgia" w:hAnsi="Georgia" w:cs="Georgia" w:eastAsia="Georgia"/>
          <w:i w:val="0"/>
          <w:sz w:val="22"/>
          <w:szCs w:val="22"/>
          <w:b w:val="0"/>
          <w:bCs w:val="0"/>
        </w:rPr>
        <w:t xml:space="preserve">
        The only function labels in this study are Epistemic Caution (EC) and Politeness/Deference (P). False positives are not a function. They are a residual record of candidates that meet neither removal check. EC and P may co-occur on one retained token (EC+P) when both the Working Test and the Reader Test hold. Connectors and framing forms may appear in the Step 1 net. If neither test is met, they are recorded as FP, not as a third function.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 is the clearer empirical null in this abstract genre. Non-qualifying candidates are FP records, not a third function.
    </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is retained as a placeholder overview figure and will be redrawn later to match the P/EC-only function scheme (FP as reject record, not a function).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
        Softening,
         conceptually, is the reduction of force, directness, imposition, or interpersonal impact in a statement. Operationally, Step 2 tracks softening of force or directness on knowledge claims (and interpersonal imposition on how claims are put forward). Retained hedges are labeled EC and/or P only, by the Working Test and Reader Test at Step 2. FP is not a function label. Directives remain excluded (FP-Rec).
    </w:t>
      </w:r>
      <w:r>
        <w:rPr>
          <w:rFonts w:ascii="Georgia" w:hAnsi="Georgia" w:cs="Georgia" w:eastAsia="Georgia"/>
          <w:sz w:val="22"/>
          <w:b w:val="0"/>
          <w:bCs w:val="0"/>
        </w:rPr>
        <w:t xml:space="preserve"/>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Findings framing and sequencing without mitigation were logged as discourse organization at Step 2, outside the retained set. DO was not used as a Step 3 function label.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
        Steps 1–3:
         Step 1 wide-net candidates. Step 2 = Working Test + Reader Test (remove the device): truth-commitment changes → EC; commitment same but claim more imposing/unattributed/confrontational toward readers or prior work → P; neither → FP. Step 3 = grammatical type on retained P and EC only. Functions = P and EC only. FP is a reject record, not a function.
    </w:t>
      </w:r>
      <w:r>
        <w:rPr>
          <w:rFonts w:ascii="Georgia" w:hAnsi="Georgia" w:cs="Georgia" w:eastAsia="Georgia"/>
          <w:sz w:val="22"/>
          <w:szCs w:val="22"/>
        </w:rPr>
        <w:t xml:space="preserve"/>
      </w:r>
    </w:p>
    <w:p w:rsidR="00000000" w:rsidDel="00000000" w:rsidP="00000000" w:rsidRDefault="00000000" w:rsidRPr="00000000" w14:paraId="00000233">
      <w:pPr>
        <w:spacing w:before="60" w:after="0" w:line="288"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xml:space="preserve">
        • Step 1 (wide net). After the holistic read, mark all possible hedge candidates. This step does not count retained hedges.
    </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Step 2 (function by paired removal checks). For each candidate, remove the device and ask what changes. Working Test: commitment to the truth of the proposition changes → retain as EC. Reader Test: truth-commitment stays the same, but the claim becomes more imposing, unattributed, or confrontational toward readers or prior work → retain as P. Neither changes → not a hedge; log as FP (not a function). Both may hold on one token (EC+P).
    </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xml:space="preserve">
        • Working Test and Reader Test are the Step 2 function gate. They replace a separate 2a/2b split. Capability, recommendation, pure procedure, and topic-naming typically fail both checks and are logged as FP.
    </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xml:space="preserve">
        • Step 3 (type). On retained P and EC tokens only, assign grammatical type (modal, lexical, adverbial, clause-level). Function is already fixed at Step 2 (Working Test and/or Reader Test). FP is not labeled at Step 3.
    </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xml:space="preserve">
        • Order. Coding order: full abstract → Step 1 → Step 2 (Working Test + Reader Test) → Decision Rules → Step 3 type on retained P and EC → Coder Notes. Deontic advice is never retained (FP-Rec).
    </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 (WORKING TEST + READER TEST) AND STEP 3 TYPE
    </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xml:space="preserve">
        • EC (Working Test): “The treatment may reduce infection rates.” Removing may raises truth-commitment → EC.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xml:space="preserve">
        • P (Reader Test): “As suggested by previous researchers, the treatment is effective.” Removing the attribution leaves truth-commitment intact but makes the claim more unattributed/imposing toward prior work → P.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xml:space="preserve">
        • P + EC: Both Working Test and Reader Test hold on one token → EC+P (or dominant label plus dual note in Coder Notes).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FP: “In conclusion, T3 produced the highest yield.” Removing the frame changes neither truth-commitment nor interpersonal imposition toward readers/prior work → FP. Not a function label.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Frame + separate EC: “It should be noted that the results may indicate growth.” Code may via Working Test as EC. The frame alone fails both tests and is not a second hedge.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Summary: Step 1 is wide. Step 2 assigns function with the Working Test (EC) and Reader Test (P). Neither → FP (not a function). Step 3 assigns type to retained hedges only. In this corpus all 65 retained tokens were EC. No P forms appeared. FP cases are inventoried separately.
    </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and P.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