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keepNext w:val="1"/>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Across the 60 abstracts, hedging is present but uneven. Lexical forms, especially potential in results and implication frames, dominate the retained set; modal verbs are secondary; adverbial and clause-level hedges are rare or absent. A large share of abstracts carry no coded hedges at all. Under Stage 1–2 coding, every retained token was labeled Epistemic Caution: no politeness candidates appeared in the corpus, and sequence-only discourse markers were not counted as hedges. That functional profile describes this sample’s retained set, not a claim that interpersonal or discourse mitigation never occurs in student writing.</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contrast is limited and should be read carefully. Veterinary Medicine shows the lowest density; Agriculture and Biology sit closer together, and Agriculture’s apparent edge is sensitive to a single high-hedge abstract. Rescue-hedging after a non-significant result appears in that outlier and connects to the study’s opening concern with overclaiming, but one text cannot ground a Null/NS pattern for the discipline. Field norms, adviser practice, and study-design mix remain entangled. The study’s main contribution is a local baseline for how ratified undergraduate abstracts at PSAU manage epistemic stance through hedging—narrow in type, uneven in density, and epistemically focused among the tokens that met the coding rules—rather than a full map of disciplinary style.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