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Fonts w:ascii="Georgia" w:hAnsi="Georgia" w:eastAsia="Georgia"/>
          <w:sz w:val="22"/>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b w:val="1"/>
          <w:bCs w:val="1"/>
          <w:rtl w:val="0"/>
        </w:rPr>
        <w:t xml:space="preserve">Hedging</w:t>
      </w:r>
      <w:r>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rPr>
          <w:cantSplit/>
          <w:tblHeader/>
        </w:trPr>
        <w:tc>
          <w:tcPr>
            <w:tcW w:w="2769" w:type="dxa"/>
            <w:tcBorders>
              <w:top w:val="single" w:sz="18" w:space="0" w:color="000000"/>
              <w:bottom w:val="single" w:sz="4" w:space="0" w:color="000000"/>
            </w:tcBorders>
          </w:tcPr>
          <w:p>
            <w:pPr>
              <w:spacing w:before="0" w:after="0" w:line="240" w:lineRule="auto"/>
              <w:jc w:val="left"/>
            </w:pPr>
            <w:r>
              <w:rPr>
                <w:b/>
                <w:sz w:val="18"/>
              </w:rPr>
              <w:t>Token</w:t>
            </w:r>
          </w:p>
        </w:tc>
        <w:tc>
          <w:tcPr>
            <w:tcW w:w="2769" w:type="dxa"/>
            <w:tcBorders>
              <w:top w:val="single" w:sz="18" w:space="0" w:color="000000"/>
              <w:bottom w:val="single" w:sz="4" w:space="0" w:color="000000"/>
            </w:tcBorders>
          </w:tcPr>
          <w:p>
            <w:pPr>
              <w:spacing w:before="0" w:after="0" w:line="240" w:lineRule="auto"/>
              <w:jc w:val="left"/>
            </w:pPr>
            <w:r>
              <w:rPr>
                <w:b/>
                <w:sz w:val="18"/>
              </w:rPr>
              <w:t>Hedge When</w:t>
            </w:r>
          </w:p>
        </w:tc>
        <w:tc>
          <w:tcPr>
            <w:tcW w:w="2769" w:type="dxa"/>
            <w:tcBorders>
              <w:top w:val="single" w:sz="18" w:space="0" w:color="000000"/>
              <w:bottom w:val="single" w:sz="4" w:space="0" w:color="000000"/>
            </w:tcBorders>
          </w:tcPr>
          <w:p>
            <w:pPr>
              <w:spacing w:before="0" w:after="0" w:line="240" w:lineRule="auto"/>
              <w:jc w:val="left"/>
            </w:pPr>
            <w:r>
              <w:rPr>
                <w:b/>
                <w:sz w:val="18"/>
              </w:rPr>
              <w:t>Not a Hedge When</w:t>
            </w:r>
          </w:p>
        </w:tc>
      </w:tr>
      <w:tr>
        <w:trPr>
          <w:cantSplit/>
        </w:trPr>
        <w:tc>
          <w:tcPr>
            <w:tcW w:w="2769" w:type="dxa"/>
          </w:tcPr>
          <w:p>
            <w:pPr>
              <w:spacing w:before="0" w:after="0" w:line="240" w:lineRule="auto"/>
              <w:jc w:val="left"/>
            </w:pPr>
            <w:r>
              <w:rPr>
                <w:b w:val="0"/>
                <w:sz w:val="18"/>
              </w:rPr>
              <w:t>suggest / indicate</w:t>
            </w:r>
          </w:p>
        </w:tc>
        <w:tc>
          <w:tcPr>
            <w:tcW w:w="2769" w:type="dxa"/>
          </w:tcPr>
          <w:p>
            <w:pPr>
              <w:spacing w:before="0" w:after="0" w:line="240" w:lineRule="auto"/>
              <w:jc w:val="left"/>
            </w:pPr>
            <w:r>
              <w:rPr>
                <w:b w:val="0"/>
                <w:sz w:val="18"/>
              </w:rPr>
              <w:t>Expresses uncertainty about a finding or conclusion</w:t>
            </w:r>
          </w:p>
        </w:tc>
        <w:tc>
          <w:tcPr>
            <w:tcW w:w="2769" w:type="dxa"/>
          </w:tcPr>
          <w:p>
            <w:pPr>
              <w:spacing w:before="0" w:after="0" w:line="240" w:lineRule="auto"/>
              <w:jc w:val="left"/>
            </w:pPr>
            <w:r>
              <w:rPr>
                <w:b w:val="0"/>
                <w:sz w:val="18"/>
              </w:rPr>
              <w:t>Introduces a recommendation or action</w:t>
            </w:r>
          </w:p>
        </w:tc>
      </w:tr>
      <w:tr>
        <w:trPr>
          <w:cantSplit/>
        </w:trPr>
        <w:tc>
          <w:tcPr>
            <w:tcW w:w="2769" w:type="dxa"/>
          </w:tcPr>
          <w:p>
            <w:pPr>
              <w:spacing w:before="0" w:after="0" w:line="240" w:lineRule="auto"/>
              <w:jc w:val="left"/>
            </w:pPr>
            <w:r>
              <w:rPr>
                <w:b w:val="0"/>
                <w:sz w:val="18"/>
              </w:rPr>
              <w:t>suggest / indicate + need for</w:t>
            </w:r>
          </w:p>
        </w:tc>
        <w:tc>
          <w:tcPr>
            <w:tcW w:w="2769" w:type="dxa"/>
          </w:tcPr>
          <w:p>
            <w:pPr>
              <w:spacing w:before="0" w:after="0" w:line="240" w:lineRule="auto"/>
              <w:jc w:val="left"/>
            </w:pPr>
            <w:r>
              <w:rPr>
                <w:b w:val="0"/>
                <w:sz w:val="18"/>
              </w:rPr>
              <w:t>Says the evidence suggests a need may exist</w:t>
            </w:r>
          </w:p>
        </w:tc>
        <w:tc>
          <w:tcPr>
            <w:tcW w:w="2769" w:type="dxa"/>
          </w:tcPr>
          <w:p>
            <w:pPr>
              <w:spacing w:before="0" w:after="0" w:line="240" w:lineRule="auto"/>
              <w:jc w:val="left"/>
            </w:pPr>
            <w:r>
              <w:rPr>
                <w:b w:val="0"/>
                <w:sz w:val="18"/>
              </w:rPr>
              <w:t>Says what should be done or is needed</w:t>
            </w:r>
          </w:p>
        </w:tc>
      </w:tr>
      <w:tr>
        <w:trPr>
          <w:cantSplit/>
        </w:trPr>
        <w:tc>
          <w:tcPr>
            <w:tcW w:w="2769" w:type="dxa"/>
          </w:tcPr>
          <w:p>
            <w:pPr>
              <w:spacing w:before="0" w:after="0" w:line="240" w:lineRule="auto"/>
              <w:jc w:val="left"/>
            </w:pPr>
            <w:r>
              <w:rPr>
                <w:b w:val="0"/>
                <w:sz w:val="18"/>
              </w:rPr>
              <w:t>indicated by</w:t>
            </w:r>
          </w:p>
        </w:tc>
        <w:tc>
          <w:tcPr>
            <w:tcW w:w="2769" w:type="dxa"/>
          </w:tcPr>
          <w:p>
            <w:pPr>
              <w:spacing w:before="0" w:after="0" w:line="240" w:lineRule="auto"/>
              <w:jc w:val="left"/>
            </w:pPr>
            <w:r>
              <w:rPr>
                <w:b w:val="0"/>
                <w:sz w:val="18"/>
              </w:rPr>
              <w:t>Introduces a conclusion drawn from evidence</w:t>
            </w:r>
          </w:p>
        </w:tc>
        <w:tc>
          <w:tcPr>
            <w:tcW w:w="2769" w:type="dxa"/>
          </w:tcPr>
          <w:p>
            <w:pPr>
              <w:spacing w:before="0" w:after="0" w:line="240" w:lineRule="auto"/>
              <w:jc w:val="left"/>
            </w:pPr>
            <w:r>
              <w:rPr>
                <w:b w:val="0"/>
                <w:sz w:val="18"/>
              </w:rPr>
              <w:t>Points to evidence for a claim already stated</w:t>
            </w:r>
          </w:p>
        </w:tc>
      </w:tr>
      <w:tr>
        <w:trPr>
          <w:cantSplit/>
        </w:trPr>
        <w:tc>
          <w:tcPr>
            <w:tcW w:w="2769" w:type="dxa"/>
          </w:tcPr>
          <w:p>
            <w:pPr>
              <w:spacing w:before="0" w:after="0" w:line="240" w:lineRule="auto"/>
              <w:jc w:val="left"/>
            </w:pPr>
            <w:r>
              <w:rPr>
                <w:b w:val="0"/>
                <w:sz w:val="18"/>
              </w:rPr>
              <w:t>indicate / indicates that</w:t>
            </w:r>
          </w:p>
        </w:tc>
        <w:tc>
          <w:tcPr>
            <w:tcW w:w="2769" w:type="dxa"/>
          </w:tcPr>
          <w:p>
            <w:pPr>
              <w:spacing w:before="0" w:after="0" w:line="240" w:lineRule="auto"/>
              <w:jc w:val="left"/>
            </w:pPr>
            <w:r>
              <w:rPr>
                <w:b w:val="0"/>
                <w:sz w:val="18"/>
              </w:rPr>
              <w:t>Introduces an inferential conclusion drawn from analysis</w:t>
            </w:r>
          </w:p>
        </w:tc>
        <w:tc>
          <w:tcPr>
            <w:tcW w:w="2769" w:type="dxa"/>
          </w:tcPr>
          <w:p>
            <w:pPr>
              <w:spacing w:before="0" w:after="0" w:line="240" w:lineRule="auto"/>
              <w:jc w:val="left"/>
            </w:pPr>
            <w:r>
              <w:rPr>
                <w:b w:val="0"/>
                <w:sz w:val="18"/>
              </w:rPr>
              <w:t>Used as a synonym for showed/demonstrated (factive reporting)</w:t>
            </w:r>
          </w:p>
        </w:tc>
      </w:tr>
      <w:tr>
        <w:trPr>
          <w:cantSplit/>
        </w:trPr>
        <w:tc>
          <w:tcPr>
            <w:tcW w:w="2769" w:type="dxa"/>
            <w:tcBorders/>
          </w:tcPr>
          <w:p>
            <w:pPr>
              <w:spacing w:before="0" w:after="0" w:line="240" w:lineRule="auto"/>
              <w:jc w:val="left"/>
            </w:pPr>
            <w:r>
              <w:rPr>
                <w:b w:val="0"/>
                <w:sz w:val="18"/>
              </w:rPr>
              <w:t>indicating (participial)</w:t>
            </w:r>
          </w:p>
        </w:tc>
        <w:tc>
          <w:tcPr>
            <w:tcW w:w="2769" w:type="dxa"/>
            <w:tcBorders/>
          </w:tcPr>
          <w:p>
            <w:pPr>
              <w:spacing w:before="0" w:after="0" w:line="240" w:lineRule="auto"/>
              <w:jc w:val="left"/>
            </w:pPr>
            <w:r>
              <w:rPr>
                <w:b w:val="0"/>
                <w:sz w:val="18"/>
              </w:rPr>
              <w:t>Introduces an inference beyond the operational definition of the result</w:t>
            </w:r>
          </w:p>
        </w:tc>
        <w:tc>
          <w:tcPr>
            <w:tcW w:w="2769" w:type="dxa"/>
            <w:tcBorders/>
          </w:tcPr>
          <w:p>
            <w:pPr>
              <w:spacing w:before="0" w:after="0" w:line="240" w:lineRule="auto"/>
              <w:jc w:val="left"/>
            </w:pPr>
            <w:r>
              <w:rPr>
                <w:b w:val="0"/>
                <w:sz w:val="18"/>
              </w:rPr>
              <w:t>Restates the operational meaning of statistical significance</w:t>
            </w:r>
          </w:p>
        </w:tc>
      </w:tr>
      <w:tr>
        <w:trPr>
          <w:cantSplit/>
        </w:trPr>
        <w:tc>
          <w:tcPr>
            <w:tcW w:type="dxa" w:w="2769"/>
          </w:tcPr>
          <w:p>
            <w:pPr>
              <w:spacing w:before="0" w:after="0"/>
            </w:pPr>
            <w:r>
              <w:rPr>
                <w:b w:val="0"/>
                <w:sz w:val="18"/>
              </w:rPr>
              <w:t>can / may</w:t>
            </w:r>
          </w:p>
        </w:tc>
        <w:tc>
          <w:tcPr>
            <w:tcW w:type="dxa" w:w="2769"/>
          </w:tcPr>
          <w:p>
            <w:pPr>
              <w:spacing w:before="0" w:after="0"/>
            </w:pPr>
            <w:r>
              <w:rPr>
                <w:b w:val="0"/>
                <w:sz w:val="18"/>
              </w:rPr>
              <w:t>Expresses possibility</w:t>
            </w:r>
          </w:p>
        </w:tc>
        <w:tc>
          <w:tcPr>
            <w:tcW w:type="dxa" w:w="2769"/>
          </w:tcPr>
          <w:p>
            <w:pPr>
              <w:spacing w:before="0" w:after="0"/>
            </w:pPr>
            <w:r>
              <w:rPr>
                <w:b w:val="0"/>
                <w:sz w:val="18"/>
              </w:rPr>
              <w:t>Expresses capability</w:t>
            </w:r>
          </w:p>
        </w:tc>
      </w:tr>
      <w:tr>
        <w:trPr>
          <w:cantSplit/>
        </w:trPr>
        <w:tc>
          <w:tcPr>
            <w:tcW w:type="dxa" w:w="2769"/>
          </w:tcPr>
          <w:p>
            <w:pPr>
              <w:spacing w:before="0" w:after="0"/>
            </w:pPr>
            <w:r>
              <w:rPr>
                <w:b w:val="0"/>
                <w:sz w:val="18"/>
              </w:rPr>
              <w:t>generally / typically</w:t>
            </w:r>
          </w:p>
        </w:tc>
        <w:tc>
          <w:tcPr>
            <w:tcW w:type="dxa" w:w="2769"/>
          </w:tcPr>
          <w:p>
            <w:pPr>
              <w:spacing w:before="0" w:after="0"/>
            </w:pPr>
            <w:r>
              <w:rPr>
                <w:b w:val="0"/>
                <w:sz w:val="18"/>
              </w:rPr>
              <w:t>Qualifies scope</w:t>
            </w:r>
          </w:p>
        </w:tc>
        <w:tc>
          <w:tcPr>
            <w:tcW w:type="dxa" w:w="2769"/>
          </w:tcPr>
          <w:p>
            <w:pPr>
              <w:spacing w:before="0" w:after="0"/>
            </w:pPr>
            <w:r>
              <w:rPr>
                <w:b w:val="0"/>
                <w:sz w:val="18"/>
              </w:rPr>
              <w:t>Describes a procedural norm</w:t>
            </w:r>
          </w:p>
        </w:tc>
      </w:tr>
      <w:tr>
        <w:trPr>
          <w:cantSplit/>
        </w:trPr>
        <w:tc>
          <w:tcPr>
            <w:tcW w:type="dxa" w:w="2769"/>
            <w:tcBorders>
              <w:bottom w:val="single" w:sz="18" w:space="0" w:color="000000"/>
            </w:tcBorders>
          </w:tcPr>
          <w:p>
            <w:pPr>
              <w:spacing w:before="0" w:after="0"/>
            </w:pPr>
            <w:r>
              <w:rPr>
                <w:b w:val="0"/>
                <w:sz w:val="18"/>
              </w:rPr>
              <w:t>appear / seem</w:t>
            </w:r>
          </w:p>
        </w:tc>
        <w:tc>
          <w:tcPr>
            <w:tcW w:type="dxa" w:w="2769"/>
            <w:tcBorders>
              <w:bottom w:val="single" w:sz="18" w:space="0" w:color="000000"/>
            </w:tcBorders>
          </w:tcPr>
          <w:p>
            <w:pPr>
              <w:spacing w:before="0" w:after="0"/>
            </w:pPr>
            <w:r>
              <w:rPr>
                <w:b w:val="0"/>
                <w:sz w:val="18"/>
              </w:rPr>
              <w:t>Expresses result uncertainty</w:t>
            </w:r>
          </w:p>
        </w:tc>
        <w:tc>
          <w:tcPr>
            <w:tcW w:type="dxa" w:w="2769"/>
            <w:tcBorders>
              <w:bottom w:val="single" w:sz="18" w:space="0" w:color="000000"/>
            </w:tcBorders>
          </w:tcPr>
          <w:p>
            <w:pPr>
              <w:spacing w:before="0" w:after="0"/>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sz w:val="22"/>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ind w:firstLine="720"/>
        <w:jc w:val="both"/>
      </w:pPr>
      <w:r>
        <w:rPr>
          <w:rFonts w:ascii="Georgia" w:hAnsi="Georgia" w:eastAsia="Georgia"/>
          <w:sz w:val="22"/>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rPr>
          <w:cantSplit/>
        </w:trP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eastAsia="Georgia"/>
          <w:sz w:val="22"/>
        </w:rPr>
        <w:t>The repertoire is lexical first. Writers more often qualify claims with content words such as potential and the suggest family than with modal verbs, and almost never with adverbial hedges. Clause-level packages do not appear.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ind w:firstLine="720"/>
        <w:jc w:val="both"/>
      </w:pPr>
      <w:r>
        <w:rPr>
          <w:rFonts w:ascii="Georgia" w:hAnsi="Georgia" w:eastAsia="Georgia"/>
          <w:sz w:val="22"/>
        </w:rPr>
        <w:t>The three programs do not share the same mix within that narrow range. Agriculture balances modal and lexical caution more evenly. Biology leans heavily on lexical qualification.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ind w:firstLine="720"/>
        <w:jc w:val="both"/>
        <w:rPr/>
      </w:pPr>
      <w:r>
        <w:rPr>
          <w:rFonts w:ascii="Georgia" w:hAnsi="Georgia" w:eastAsia="Georgia"/>
          <w:sz w:val="22"/>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eastAsia="Georgia"/>
          <w:sz w:val="22"/>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Georgia" w:hAnsi="Georgia" w:eastAsia="Georgia"/>
          <w:sz w:val="22"/>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on the same ledger. Table 4 reports the counts. The paragraphs that follow read them as patterns of wording, not as ends in themselves.</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rPr>
          <w:cantSplit/>
        </w:trP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rPr>
          <w:cantSplit/>
        </w:trP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rPr>
          <w:cantSplit/>
        </w:trP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rPr>
          <w:cantSplit/>
        </w:trP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rPr>
          <w:cantSplit/>
        </w:trP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eastAsia="Georgia"/>
          <w:sz w:val="22"/>
        </w:rPr>
        <w:t>Biology and Agriculture mark caution with similar frequency overall.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Agriculture–Biology gap is negligible in how the English behaves, and Veterinary Medicine is the low-caution corner of the sample.</w:t>
      </w:r>
    </w:p>
    <w:p w:rsidR="00000000" w:rsidDel="00000000" w:rsidP="00000000" w:rsidRDefault="00000000" w:rsidRPr="00000000" w14:paraId="0000015C">
      <w:pPr>
        <w:spacing w:after="0" w:before="0" w:line="480" w:lineRule="auto"/>
        <w:ind w:firstLine="720"/>
        <w:jc w:val="both"/>
        <w:rPr/>
      </w:pPr>
      <w:r>
        <w:rPr>
          <w:rFonts w:ascii="Georgia" w:hAnsi="Georgia" w:eastAsia="Georgia"/>
          <w:sz w:val="22"/>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ind w:firstLine="720"/>
        <w:jc w:val="both"/>
      </w:pPr>
      <w:r>
        <w:rPr>
          <w:rFonts w:ascii="Georgia" w:hAnsi="Georgia" w:eastAsia="Georgia"/>
          <w:sz w:val="22"/>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ind w:firstLine="0"/>
        <w:jc w:val="center"/>
      </w:pPr>
      <w:r>
        <w:rPr>
          <w:b/>
          <w:sz w:val="22"/>
        </w:rPr>
        <w:t>Table 4.1</w:t>
      </w:r>
    </w:p>
    <w:p>
      <w:pPr>
        <w:spacing w:line="480" w:lineRule="auto"/>
        <w:ind w:firstLine="0"/>
        <w:jc w:val="center"/>
      </w:pPr>
      <w:r>
        <w:rPr>
          <w:i/>
          <w:sz w:val="22"/>
        </w:rPr>
        <w:t>Illustrative Unhedged Claims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Subtype</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Why unhedged</w:t>
            </w:r>
          </w:p>
        </w:tc>
      </w:tr>
      <w:tr>
        <w:trPr>
          <w:cantSplit/>
        </w:trPr>
        <w:tc>
          <w:tcPr>
            <w:tcW w:type="dxa" w:w="1661"/>
          </w:tcPr>
          <w:p>
            <w:pPr>
              <w:spacing w:before="0" w:after="0"/>
            </w:pPr>
            <w:r>
              <w:rPr>
                <w:b w:val="0"/>
                <w:sz w:val="16"/>
              </w:rPr>
              <w:t>B6</w:t>
            </w:r>
          </w:p>
        </w:tc>
        <w:tc>
          <w:tcPr>
            <w:tcW w:type="dxa" w:w="1661"/>
          </w:tcPr>
          <w:p>
            <w:pPr>
              <w:spacing w:before="0" w:after="0"/>
            </w:pPr>
            <w:r>
              <w:rPr>
                <w:b w:val="0"/>
                <w:sz w:val="16"/>
              </w:rPr>
              <w:t>Biology</w:t>
            </w:r>
          </w:p>
        </w:tc>
        <w:tc>
          <w:tcPr>
            <w:tcW w:type="dxa" w:w="1661"/>
          </w:tcPr>
          <w:p>
            <w:pPr>
              <w:spacing w:before="0" w:after="0"/>
            </w:pPr>
            <w:r>
              <w:rPr>
                <w:b w:val="0"/>
                <w:sz w:val="16"/>
              </w:rPr>
              <w:t>G</w:t>
            </w:r>
          </w:p>
        </w:tc>
        <w:tc>
          <w:tcPr>
            <w:tcW w:type="dxa" w:w="1661"/>
          </w:tcPr>
          <w:p>
            <w:pPr>
              <w:spacing w:before="0" w:after="0"/>
            </w:pPr>
            <w:r>
              <w:rPr>
                <w:b w:val="0"/>
                <w:sz w:val="16"/>
              </w:rPr>
              <w:t>…making them a weak, unsuitable material to use in building walkways.</w:t>
            </w:r>
          </w:p>
        </w:tc>
        <w:tc>
          <w:tcPr>
            <w:tcW w:type="dxa" w:w="1661"/>
          </w:tcPr>
          <w:p>
            <w:pPr>
              <w:spacing w:before="0" w:after="0"/>
            </w:pPr>
            <w:r>
              <w:rPr>
                <w:b w:val="0"/>
                <w:sz w:val="16"/>
              </w:rPr>
              <w:t>Ranks eco-bricks as unsuitable for a use beyond the measured drop-test result.</w:t>
            </w:r>
          </w:p>
        </w:tc>
      </w:tr>
      <w:tr>
        <w:trPr>
          <w:cantSplit/>
        </w:trPr>
        <w:tc>
          <w:tcPr>
            <w:tcW w:type="dxa" w:w="1661"/>
          </w:tcPr>
          <w:p>
            <w:pPr>
              <w:spacing w:before="0" w:after="0"/>
            </w:pPr>
            <w:r>
              <w:rPr>
                <w:b w:val="0"/>
                <w:sz w:val="16"/>
              </w:rPr>
              <w:t>B9</w:t>
            </w:r>
          </w:p>
        </w:tc>
        <w:tc>
          <w:tcPr>
            <w:tcW w:type="dxa" w:w="1661"/>
          </w:tcPr>
          <w:p>
            <w:pPr>
              <w:spacing w:before="0" w:after="0"/>
            </w:pPr>
            <w:r>
              <w:rPr>
                <w:b w:val="0"/>
                <w:sz w:val="16"/>
              </w:rPr>
              <w:t>Biology</w:t>
            </w:r>
          </w:p>
        </w:tc>
        <w:tc>
          <w:tcPr>
            <w:tcW w:type="dxa" w:w="1661"/>
          </w:tcPr>
          <w:p>
            <w:pPr>
              <w:spacing w:before="0" w:after="0"/>
            </w:pPr>
            <w:r>
              <w:rPr>
                <w:b w:val="0"/>
                <w:sz w:val="16"/>
              </w:rPr>
              <w:t>C</w:t>
            </w:r>
          </w:p>
        </w:tc>
        <w:tc>
          <w:tcPr>
            <w:tcW w:type="dxa" w:w="1661"/>
          </w:tcPr>
          <w:p>
            <w:pPr>
              <w:spacing w:before="0" w:after="0"/>
            </w:pPr>
            <w:r>
              <w:rPr>
                <w:b w:val="0"/>
                <w:sz w:val="16"/>
              </w:rPr>
              <w:t>…pure MSG and pure ethanolic leaf extract of Z. talanai caused the lesions / aberrations to the liver and kidney.</w:t>
            </w:r>
          </w:p>
        </w:tc>
        <w:tc>
          <w:tcPr>
            <w:tcW w:type="dxa" w:w="1661"/>
          </w:tcPr>
          <w:p>
            <w:pPr>
              <w:spacing w:before="0" w:after="0"/>
            </w:pPr>
            <w:r>
              <w:rPr>
                <w:b w:val="0"/>
                <w:sz w:val="16"/>
              </w:rPr>
              <w:t>States causation more strongly than a single experimental design alone supports.</w:t>
            </w:r>
          </w:p>
        </w:tc>
      </w:tr>
      <w:tr>
        <w:trPr>
          <w:cantSplit/>
        </w:trPr>
        <w:tc>
          <w:tcPr>
            <w:tcW w:type="dxa" w:w="1661"/>
          </w:tcPr>
          <w:p>
            <w:pPr>
              <w:spacing w:before="0" w:after="0"/>
            </w:pPr>
            <w:r>
              <w:rPr>
                <w:b w:val="0"/>
                <w:sz w:val="16"/>
              </w:rPr>
              <w:t>Acs10</w:t>
            </w:r>
          </w:p>
        </w:tc>
        <w:tc>
          <w:tcPr>
            <w:tcW w:type="dxa" w:w="1661"/>
          </w:tcPr>
          <w:p>
            <w:pPr>
              <w:spacing w:before="0" w:after="0"/>
            </w:pPr>
            <w:r>
              <w:rPr>
                <w:b w:val="0"/>
                <w:sz w:val="16"/>
              </w:rPr>
              <w:t>Agriculture</w:t>
            </w:r>
          </w:p>
        </w:tc>
        <w:tc>
          <w:tcPr>
            <w:tcW w:type="dxa" w:w="1661"/>
          </w:tcPr>
          <w:p>
            <w:pPr>
              <w:spacing w:before="0" w:after="0"/>
            </w:pPr>
            <w:r>
              <w:rPr>
                <w:b w:val="0"/>
                <w:sz w:val="16"/>
              </w:rPr>
              <w:t>G</w:t>
            </w:r>
          </w:p>
        </w:tc>
        <w:tc>
          <w:tcPr>
            <w:tcW w:type="dxa" w:w="1661"/>
          </w:tcPr>
          <w:p>
            <w:pPr>
              <w:spacing w:before="0" w:after="0"/>
            </w:pPr>
            <w:r>
              <w:rPr>
                <w:b w:val="0"/>
                <w:sz w:val="16"/>
              </w:rPr>
              <w:t>…T3: NPK+14-14-14 was the most compelling treatment among all treatments…</w:t>
            </w:r>
          </w:p>
        </w:tc>
        <w:tc>
          <w:tcPr>
            <w:tcW w:type="dxa" w:w="1661"/>
          </w:tcPr>
          <w:p>
            <w:pPr>
              <w:spacing w:before="0" w:after="0"/>
            </w:pPr>
            <w:r>
              <w:rPr>
                <w:b w:val="0"/>
                <w:sz w:val="16"/>
              </w:rPr>
              <w:t>Generalizes a ranking (“most compelling”) beyond a comparative description of the trial.</w:t>
            </w:r>
          </w:p>
        </w:tc>
      </w:tr>
      <w:tr>
        <w:trPr>
          <w:cantSplit/>
        </w:trPr>
        <w:tc>
          <w:tcPr>
            <w:tcW w:type="dxa" w:w="1661"/>
            <w:tcBorders>
              <w:bottom w:val="single" w:sz="18" w:space="0" w:color="000000"/>
            </w:tcBorders>
          </w:tcPr>
          <w:p>
            <w:pPr>
              <w:spacing w:before="0" w:after="0"/>
            </w:pPr>
            <w:r>
              <w:rPr>
                <w:b w:val="0"/>
                <w:sz w:val="16"/>
              </w:rPr>
              <w:t>VM16</w:t>
            </w:r>
          </w:p>
        </w:tc>
        <w:tc>
          <w:tcPr>
            <w:tcW w:type="dxa" w:w="1661"/>
            <w:tcBorders>
              <w:bottom w:val="single" w:sz="18" w:space="0" w:color="000000"/>
            </w:tcBorders>
          </w:tcPr>
          <w:p>
            <w:pPr>
              <w:spacing w:before="0" w:after="0"/>
            </w:pPr>
            <w:r>
              <w:rPr>
                <w:b w:val="0"/>
                <w:sz w:val="16"/>
              </w:rPr>
              <w:t>Veterinary Medicine</w:t>
            </w:r>
          </w:p>
        </w:tc>
        <w:tc>
          <w:tcPr>
            <w:tcW w:type="dxa" w:w="1661"/>
            <w:tcBorders>
              <w:bottom w:val="single" w:sz="18" w:space="0" w:color="000000"/>
            </w:tcBorders>
          </w:tcPr>
          <w:p>
            <w:pPr>
              <w:spacing w:before="0" w:after="0"/>
            </w:pPr>
            <w:r>
              <w:rPr>
                <w:b w:val="0"/>
                <w:sz w:val="16"/>
              </w:rPr>
              <w:t>G</w:t>
            </w:r>
          </w:p>
        </w:tc>
        <w:tc>
          <w:tcPr>
            <w:tcW w:type="dxa" w:w="1661"/>
            <w:tcBorders>
              <w:bottom w:val="single" w:sz="18" w:space="0" w:color="000000"/>
            </w:tcBorders>
          </w:tcPr>
          <w:p>
            <w:pPr>
              <w:spacing w:before="0" w:after="0"/>
            </w:pPr>
            <w:r>
              <w:rPr>
                <w:b w:val="0"/>
                <w:sz w:val="16"/>
              </w:rPr>
              <w:t>…Noni fruit ethanolic extract with 40% concentration has antibacterial property.</w:t>
            </w:r>
          </w:p>
        </w:tc>
        <w:tc>
          <w:tcPr>
            <w:tcW w:type="dxa" w:w="1661"/>
            <w:tcBorders>
              <w:bottom w:val="single" w:sz="18" w:space="0" w:color="000000"/>
            </w:tcBorders>
          </w:tcPr>
          <w:p>
            <w:pPr>
              <w:spacing w:before="0" w:after="0"/>
            </w:pPr>
            <w:r>
              <w:rPr>
                <w:b w:val="0"/>
                <w:sz w:val="16"/>
              </w:rPr>
              <w:t>States the property as settled from the reported tests without modal or lexical softening.</w:t>
            </w:r>
          </w:p>
        </w:tc>
      </w:tr>
    </w:tbl>
    <w:p>
      <w:pPr>
        <w:spacing w:line="480" w:lineRule="auto" w:before="0" w:after="0"/>
        <w:ind w:firstLine="720"/>
        <w:jc w:val="both"/>
      </w:pPr>
      <w:r>
        <w:rPr>
          <w:rFonts w:ascii="Georgia" w:hAnsi="Georgia" w:eastAsia="Georgia"/>
          <w:sz w:val="22"/>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eastAsia="Georgia"/>
          <w:sz w:val="22"/>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ind w:firstLine="720"/>
        <w:jc w:val="both"/>
      </w:pPr>
      <w:r>
        <w:rPr>
          <w:rFonts w:ascii="Georgia" w:hAnsi="Georgia" w:eastAsia="Georgia"/>
          <w:sz w:val="22"/>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and L2 academic writing (Hyland &amp; Milton, 1997; Qiu et al., 2024). In this PSAU sample the sharpest contrast in how English marks caution is between Biology and Veterinary Medicine. It is a local pattern in ratified abstracts.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eastAsia="Georgia"/>
          <w:sz w:val="22"/>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ind w:firstLine="720"/>
        <w:jc w:val="both"/>
        <w:rPr/>
      </w:pPr>
      <w:r>
        <w:rPr>
          <w:rFonts w:ascii="Georgia" w:hAnsi="Georgia" w:eastAsia="Georgia"/>
          <w:sz w:val="22"/>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pPr>
        <w:spacing w:line="480" w:lineRule="auto" w:before="240" w:after="0"/>
        <w:ind w:firstLine="0"/>
        <w:jc w:val="left"/>
      </w:pPr>
      <w:r>
        <w:rPr>
          <w:rFonts w:ascii="Georgia" w:hAnsi="Georgia" w:eastAsia="Georgia"/>
          <w:b/>
          <w:sz w:val="22"/>
        </w:rPr>
        <w:t>Function Profile of Retained Hedges</w:t>
      </w:r>
    </w:p>
    <w:p w:rsidR="00000000" w:rsidDel="00000000" w:rsidP="00000000" w:rsidRDefault="00000000" w:rsidRPr="00000000" w14:paraId="00000162">
      <w:pPr>
        <w:spacing w:after="0" w:before="0" w:line="480" w:lineRule="auto"/>
        <w:ind w:firstLine="720"/>
        <w:jc w:val="both"/>
        <w:rPr/>
      </w:pPr>
      <w:r>
        <w:rPr>
          <w:rFonts w:ascii="Georgia" w:hAnsi="Georgia" w:eastAsia="Georgia"/>
          <w:sz w:val="22"/>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720" w:line="480" w:lineRule="auto"/>
        <w:ind w:firstLine="0"/>
        <w:jc w:val="center"/>
        <w:rPr/>
      </w:pPr>
      <w:r>
        <w:rPr>
          <w:b/>
          <w:sz w:val="22"/>
        </w:rPr>
        <w:t>Table 5</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tblHeader/>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0" w:line="480" w:lineRule="auto"/>
        <w:ind w:firstLine="720"/>
        <w:jc w:val="both"/>
        <w:rPr/>
      </w:pPr>
      <w:r>
        <w:rPr>
          <w:rFonts w:ascii="Georgia" w:hAnsi="Georgia" w:eastAsia="Georgia"/>
          <w:sz w:val="22"/>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jc w:val="both"/>
        <w:rPr/>
      </w:pPr>
      <w:r>
        <w:rPr>
          <w:rFonts w:ascii="Georgia" w:hAnsi="Georgia" w:eastAsia="Georgia"/>
          <w:sz w:val="22"/>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ind w:firstLine="0"/>
        <w:jc w:val="left"/>
      </w:pPr>
      <w:r>
        <w:rPr>
          <w:rFonts w:ascii="Georgia" w:hAnsi="Georgia" w:eastAsia="Georgia"/>
          <w:b/>
          <w:sz w:val="22"/>
        </w:rPr>
        <w:t>Hedge versus False Positive in the Wording</w:t>
      </w:r>
    </w:p>
    <w:p>
      <w:pPr>
        <w:spacing w:line="480" w:lineRule="auto"/>
        <w:ind w:firstLine="0"/>
        <w:jc w:val="center"/>
      </w:pPr>
      <w:r>
        <w:rPr>
          <w:b/>
          <w:sz w:val="22"/>
        </w:rPr>
        <w:t>Table 5.1</w:t>
      </w:r>
    </w:p>
    <w:p>
      <w:pPr>
        <w:spacing w:line="480" w:lineRule="auto"/>
        <w:ind w:firstLine="0"/>
        <w:jc w:val="center"/>
      </w:pPr>
      <w:r>
        <w:rPr>
          <w:i/>
          <w:sz w:val="22"/>
        </w:rPr>
        <w:t>Retained Hedge versus False Positive: Coding Contrasts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Decision</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Coding rationale</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Retained (lexical)</w:t>
            </w:r>
          </w:p>
        </w:tc>
        <w:tc>
          <w:tcPr>
            <w:tcW w:type="dxa" w:w="1661"/>
          </w:tcPr>
          <w:p>
            <w:pPr>
              <w:spacing w:before="0" w:after="0"/>
            </w:pPr>
            <w:r>
              <w:rPr>
                <w:b w:val="0"/>
                <w:sz w:val="16"/>
              </w:rPr>
              <w:t>…insights into the potential of B. subtilis as a sustainable solution…</w:t>
            </w:r>
          </w:p>
        </w:tc>
        <w:tc>
          <w:tcPr>
            <w:tcW w:type="dxa" w:w="1661"/>
          </w:tcPr>
          <w:p>
            <w:pPr>
              <w:spacing w:before="0" w:after="0"/>
            </w:pPr>
            <w:r>
              <w:rPr>
                <w:b w:val="0"/>
                <w:sz w:val="16"/>
              </w:rPr>
              <w:t>Qualifies a finding-side claim about what the results support.</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False positive (topic-naming)</w:t>
            </w:r>
          </w:p>
        </w:tc>
        <w:tc>
          <w:tcPr>
            <w:tcW w:type="dxa" w:w="1661"/>
          </w:tcPr>
          <w:p>
            <w:pPr>
              <w:spacing w:before="0" w:after="0"/>
            </w:pPr>
            <w:r>
              <w:rPr>
                <w:b w:val="0"/>
                <w:sz w:val="16"/>
              </w:rPr>
              <w:t>In this study, the growth promoting potential of Bacillus subtilis… was assessed…</w:t>
            </w:r>
          </w:p>
        </w:tc>
        <w:tc>
          <w:tcPr>
            <w:tcW w:type="dxa" w:w="1661"/>
          </w:tcPr>
          <w:p>
            <w:pPr>
              <w:spacing w:before="0" w:after="0"/>
            </w:pPr>
            <w:r>
              <w:rPr>
                <w:b w:val="0"/>
                <w:sz w:val="16"/>
              </w:rPr>
              <w:t>Names the object of study in an aim/methods frame (non-claim).</w:t>
            </w:r>
          </w:p>
        </w:tc>
      </w:tr>
      <w:tr>
        <w:trPr>
          <w:cantSplit/>
        </w:trPr>
        <w:tc>
          <w:tcPr>
            <w:tcW w:type="dxa" w:w="1661"/>
          </w:tcPr>
          <w:p>
            <w:pPr>
              <w:spacing w:before="0" w:after="0"/>
            </w:pPr>
            <w:r>
              <w:rPr>
                <w:b w:val="0"/>
                <w:sz w:val="16"/>
              </w:rPr>
              <w:t>Acs3</w:t>
            </w:r>
          </w:p>
        </w:tc>
        <w:tc>
          <w:tcPr>
            <w:tcW w:type="dxa" w:w="1661"/>
          </w:tcPr>
          <w:p>
            <w:pPr>
              <w:spacing w:before="0" w:after="0"/>
            </w:pPr>
            <w:r>
              <w:rPr>
                <w:b w:val="0"/>
                <w:sz w:val="16"/>
              </w:rPr>
              <w:t>can</w:t>
            </w:r>
          </w:p>
        </w:tc>
        <w:tc>
          <w:tcPr>
            <w:tcW w:type="dxa" w:w="1661"/>
          </w:tcPr>
          <w:p>
            <w:pPr>
              <w:spacing w:before="0" w:after="0"/>
            </w:pPr>
            <w:r>
              <w:rPr>
                <w:b w:val="0"/>
                <w:sz w:val="16"/>
              </w:rPr>
              <w:t>Retained (modal)</w:t>
            </w:r>
          </w:p>
        </w:tc>
        <w:tc>
          <w:tcPr>
            <w:tcW w:type="dxa" w:w="1661"/>
          </w:tcPr>
          <w:p>
            <w:pPr>
              <w:spacing w:before="0" w:after="0"/>
            </w:pPr>
            <w:r>
              <w:rPr>
                <w:b w:val="0"/>
                <w:sz w:val="16"/>
              </w:rPr>
              <w:t>…it can be derived that the application of different alternative rooting hormones…</w:t>
            </w:r>
          </w:p>
        </w:tc>
        <w:tc>
          <w:tcPr>
            <w:tcW w:type="dxa" w:w="1661"/>
          </w:tcPr>
          <w:p>
            <w:pPr>
              <w:spacing w:before="0" w:after="0"/>
            </w:pPr>
            <w:r>
              <w:rPr>
                <w:b w:val="0"/>
                <w:sz w:val="16"/>
              </w:rPr>
              <w:t>Possibility reading on an interpretive claim; removing can raises commitment.</w:t>
            </w:r>
          </w:p>
        </w:tc>
      </w:tr>
      <w:tr>
        <w:trPr>
          <w:cantSplit/>
        </w:trPr>
        <w:tc>
          <w:tcPr>
            <w:tcW w:type="dxa" w:w="1661"/>
          </w:tcPr>
          <w:p>
            <w:pPr>
              <w:spacing w:before="0" w:after="0"/>
            </w:pPr>
            <w:r>
              <w:rPr>
                <w:b w:val="0"/>
                <w:sz w:val="16"/>
              </w:rPr>
              <w:t>Aas3</w:t>
            </w:r>
          </w:p>
        </w:tc>
        <w:tc>
          <w:tcPr>
            <w:tcW w:type="dxa" w:w="1661"/>
          </w:tcPr>
          <w:p>
            <w:pPr>
              <w:spacing w:before="0" w:after="0"/>
            </w:pPr>
            <w:r>
              <w:rPr>
                <w:b w:val="0"/>
                <w:sz w:val="16"/>
              </w:rPr>
              <w:t>can</w:t>
            </w:r>
          </w:p>
        </w:tc>
        <w:tc>
          <w:tcPr>
            <w:tcW w:type="dxa" w:w="1661"/>
          </w:tcPr>
          <w:p>
            <w:pPr>
              <w:spacing w:before="0" w:after="0"/>
            </w:pPr>
            <w:r>
              <w:rPr>
                <w:b w:val="0"/>
                <w:sz w:val="16"/>
              </w:rPr>
              <w:t>False positive (capability)</w:t>
            </w:r>
          </w:p>
        </w:tc>
        <w:tc>
          <w:tcPr>
            <w:tcW w:type="dxa" w:w="1661"/>
          </w:tcPr>
          <w:p>
            <w:pPr>
              <w:spacing w:before="0" w:after="0"/>
            </w:pPr>
            <w:r>
              <w:rPr>
                <w:b w:val="0"/>
                <w:sz w:val="16"/>
              </w:rPr>
              <w:t>…rice bran mixed with water spinach… can help minimize…</w:t>
            </w:r>
          </w:p>
        </w:tc>
        <w:tc>
          <w:tcPr>
            <w:tcW w:type="dxa" w:w="1661"/>
          </w:tcPr>
          <w:p>
            <w:pPr>
              <w:spacing w:before="0" w:after="0"/>
            </w:pPr>
            <w:r>
              <w:rPr>
                <w:b w:val="0"/>
                <w:sz w:val="16"/>
              </w:rPr>
              <w:t>Marks ability of a treatment, not uncertainty about a finding-claim.</w:t>
            </w:r>
          </w:p>
        </w:tc>
      </w:tr>
      <w:tr>
        <w:trPr>
          <w:cantSplit/>
        </w:trPr>
        <w:tc>
          <w:tcPr>
            <w:tcW w:type="dxa" w:w="1661"/>
          </w:tcPr>
          <w:p>
            <w:pPr>
              <w:spacing w:before="0" w:after="0"/>
            </w:pPr>
            <w:r>
              <w:rPr>
                <w:b w:val="0"/>
                <w:sz w:val="16"/>
              </w:rPr>
              <w:t>B3</w:t>
            </w:r>
          </w:p>
        </w:tc>
        <w:tc>
          <w:tcPr>
            <w:tcW w:type="dxa" w:w="1661"/>
          </w:tcPr>
          <w:p>
            <w:pPr>
              <w:spacing w:before="0" w:after="0"/>
            </w:pPr>
            <w:r>
              <w:rPr>
                <w:b w:val="0"/>
                <w:sz w:val="16"/>
              </w:rPr>
              <w:t>indicating</w:t>
            </w:r>
          </w:p>
        </w:tc>
        <w:tc>
          <w:tcPr>
            <w:tcW w:type="dxa" w:w="1661"/>
          </w:tcPr>
          <w:p>
            <w:pPr>
              <w:spacing w:before="0" w:after="0"/>
            </w:pPr>
            <w:r>
              <w:rPr>
                <w:b w:val="0"/>
                <w:sz w:val="16"/>
              </w:rPr>
              <w:t>Retained (lexical)</w:t>
            </w:r>
          </w:p>
        </w:tc>
        <w:tc>
          <w:tcPr>
            <w:tcW w:type="dxa" w:w="1661"/>
          </w:tcPr>
          <w:p>
            <w:pPr>
              <w:spacing w:before="0" w:after="0"/>
            </w:pPr>
            <w:r>
              <w:rPr>
                <w:b w:val="0"/>
                <w:sz w:val="16"/>
              </w:rPr>
              <w:t>…presence of bacterial coliform and E. coli…, indicating unsafe conditions…</w:t>
            </w:r>
          </w:p>
        </w:tc>
        <w:tc>
          <w:tcPr>
            <w:tcW w:type="dxa" w:w="1661"/>
          </w:tcPr>
          <w:p>
            <w:pPr>
              <w:spacing w:before="0" w:after="0"/>
            </w:pPr>
            <w:r>
              <w:rPr>
                <w:b w:val="0"/>
                <w:sz w:val="16"/>
              </w:rPr>
              <w:t>Inference beyond the operational lab result.</w:t>
            </w:r>
          </w:p>
        </w:tc>
      </w:tr>
      <w:tr>
        <w:trPr>
          <w:cantSplit/>
        </w:trPr>
        <w:tc>
          <w:tcPr>
            <w:tcW w:type="dxa" w:w="1661"/>
            <w:tcBorders>
              <w:bottom w:val="single" w:sz="18" w:space="0" w:color="000000"/>
            </w:tcBorders>
          </w:tcPr>
          <w:p>
            <w:pPr>
              <w:spacing w:before="0" w:after="0"/>
            </w:pPr>
            <w:r>
              <w:rPr>
                <w:b w:val="0"/>
                <w:sz w:val="16"/>
              </w:rPr>
              <w:t>Aas8</w:t>
            </w:r>
          </w:p>
        </w:tc>
        <w:tc>
          <w:tcPr>
            <w:tcW w:type="dxa" w:w="1661"/>
            <w:tcBorders>
              <w:bottom w:val="single" w:sz="18" w:space="0" w:color="000000"/>
            </w:tcBorders>
          </w:tcPr>
          <w:p>
            <w:pPr>
              <w:spacing w:before="0" w:after="0"/>
            </w:pPr>
            <w:r>
              <w:rPr>
                <w:b w:val="0"/>
                <w:sz w:val="16"/>
              </w:rPr>
              <w:t>indicating</w:t>
            </w:r>
          </w:p>
        </w:tc>
        <w:tc>
          <w:tcPr>
            <w:tcW w:type="dxa" w:w="1661"/>
            <w:tcBorders>
              <w:bottom w:val="single" w:sz="18" w:space="0" w:color="000000"/>
            </w:tcBorders>
          </w:tcPr>
          <w:p>
            <w:pPr>
              <w:spacing w:before="0" w:after="0"/>
            </w:pPr>
            <w:r>
              <w:rPr>
                <w:b w:val="0"/>
                <w:sz w:val="16"/>
              </w:rPr>
              <w:t>False positive (restatement)</w:t>
            </w:r>
          </w:p>
        </w:tc>
        <w:tc>
          <w:tcPr>
            <w:tcW w:type="dxa" w:w="1661"/>
            <w:tcBorders>
              <w:bottom w:val="single" w:sz="18" w:space="0" w:color="000000"/>
            </w:tcBorders>
          </w:tcPr>
          <w:p>
            <w:pPr>
              <w:spacing w:before="0" w:after="0"/>
            </w:pPr>
            <w:r>
              <w:rPr>
                <w:b w:val="0"/>
                <w:sz w:val="16"/>
              </w:rPr>
              <w:t>…lowest feed conversion ratio…, indicating superior feed efficiency…</w:t>
            </w:r>
          </w:p>
        </w:tc>
        <w:tc>
          <w:tcPr>
            <w:tcW w:type="dxa" w:w="1661"/>
            <w:tcBorders>
              <w:bottom w:val="single" w:sz="18" w:space="0" w:color="000000"/>
            </w:tcBorders>
          </w:tcPr>
          <w:p>
            <w:pPr>
              <w:spacing w:before="0" w:after="0"/>
            </w:pPr>
            <w:r>
              <w:rPr>
                <w:b w:val="0"/>
                <w:sz w:val="16"/>
              </w:rPr>
              <w:t>Restates what the measure already means operationally.</w:t>
            </w:r>
          </w:p>
        </w:tc>
      </w:tr>
    </w:tbl>
    <w:p>
      <w:pPr>
        <w:spacing w:line="480" w:lineRule="auto" w:before="0" w:after="0"/>
        <w:ind w:firstLine="720"/>
        <w:jc w:val="both"/>
      </w:pPr>
      <w:r>
        <w:rPr>
          <w:rFonts w:ascii="Georgia" w:hAnsi="Georgia" w:eastAsia="Georgia"/>
          <w:sz w:val="22"/>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ind w:firstLine="0"/>
        <w:jc w:val="center"/>
      </w:pPr>
      <w:r>
        <w:rPr>
          <w:b/>
          <w:sz w:val="22"/>
        </w:rPr>
        <w:t>Table 5.2</w:t>
      </w:r>
    </w:p>
    <w:p>
      <w:pPr>
        <w:spacing w:line="480" w:lineRule="auto"/>
        <w:ind w:firstLine="0"/>
        <w:jc w:val="center"/>
      </w:pPr>
      <w:r>
        <w:rPr>
          <w:i/>
          <w:sz w:val="22"/>
        </w:rPr>
        <w:t>Illustrative Retained Hedges by Program</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6"/>
      </w:tblGrid>
      <w:tr>
        <w:trPr>
          <w:cantSplit/>
          <w:tblHeader/>
        </w:trPr>
        <w:tc>
          <w:tcPr>
            <w:tcW w:type="dxa" w:w="2076"/>
            <w:tcBorders>
              <w:top w:val="single" w:sz="18" w:space="0" w:color="000000"/>
              <w:bottom w:val="single" w:sz="4" w:space="0" w:color="000000"/>
            </w:tcBorders>
          </w:tcPr>
          <w:p>
            <w:pPr>
              <w:spacing w:before="0" w:after="0"/>
            </w:pPr>
            <w:r>
              <w:rPr>
                <w:b/>
                <w:sz w:val="16"/>
              </w:rPr>
              <w:t>Discipline</w:t>
            </w:r>
          </w:p>
        </w:tc>
        <w:tc>
          <w:tcPr>
            <w:tcW w:type="dxa" w:w="2076"/>
            <w:tcBorders>
              <w:top w:val="single" w:sz="18" w:space="0" w:color="000000"/>
              <w:bottom w:val="single" w:sz="4" w:space="0" w:color="000000"/>
            </w:tcBorders>
          </w:tcPr>
          <w:p>
            <w:pPr>
              <w:spacing w:before="0" w:after="0"/>
            </w:pPr>
            <w:r>
              <w:rPr>
                <w:b/>
                <w:sz w:val="16"/>
              </w:rPr>
              <w:t>ID</w:t>
            </w:r>
          </w:p>
        </w:tc>
        <w:tc>
          <w:tcPr>
            <w:tcW w:type="dxa" w:w="2076"/>
            <w:tcBorders>
              <w:top w:val="single" w:sz="18" w:space="0" w:color="000000"/>
              <w:bottom w:val="single" w:sz="4" w:space="0" w:color="000000"/>
            </w:tcBorders>
          </w:tcPr>
          <w:p>
            <w:pPr>
              <w:spacing w:before="0" w:after="0"/>
            </w:pPr>
            <w:r>
              <w:rPr>
                <w:b/>
                <w:sz w:val="16"/>
              </w:rPr>
              <w:t>Token</w:t>
            </w:r>
          </w:p>
        </w:tc>
        <w:tc>
          <w:tcPr>
            <w:tcW w:type="dxa" w:w="2076"/>
            <w:tcBorders>
              <w:top w:val="single" w:sz="18" w:space="0" w:color="000000"/>
              <w:bottom w:val="single" w:sz="4" w:space="0" w:color="000000"/>
            </w:tcBorders>
          </w:tcPr>
          <w:p>
            <w:pPr>
              <w:spacing w:before="0" w:after="0"/>
            </w:pPr>
            <w:r>
              <w:rPr>
                <w:b/>
                <w:sz w:val="16"/>
              </w:rPr>
              <w:t>Excerpt</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Acs1</w:t>
            </w:r>
          </w:p>
        </w:tc>
        <w:tc>
          <w:tcPr>
            <w:tcW w:type="dxa" w:w="2076"/>
          </w:tcPr>
          <w:p>
            <w:pPr>
              <w:spacing w:before="0" w:after="0"/>
            </w:pPr>
            <w:r>
              <w:rPr>
                <w:b w:val="0"/>
                <w:sz w:val="16"/>
              </w:rPr>
              <w:t>suggest</w:t>
            </w:r>
          </w:p>
        </w:tc>
        <w:tc>
          <w:tcPr>
            <w:tcW w:type="dxa" w:w="2076"/>
          </w:tcPr>
          <w:p>
            <w:pPr>
              <w:spacing w:before="0" w:after="0"/>
            </w:pPr>
            <w:r>
              <w:rPr>
                <w:b w:val="0"/>
                <w:sz w:val="16"/>
              </w:rPr>
              <w:t>These findings suggest that fermented banana peel…</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Acs2</w:t>
            </w:r>
          </w:p>
        </w:tc>
        <w:tc>
          <w:tcPr>
            <w:tcW w:type="dxa" w:w="2076"/>
          </w:tcPr>
          <w:p>
            <w:pPr>
              <w:spacing w:before="0" w:after="0"/>
            </w:pPr>
            <w:r>
              <w:rPr>
                <w:b w:val="0"/>
                <w:sz w:val="16"/>
              </w:rPr>
              <w:t>could / potential</w:t>
            </w:r>
          </w:p>
        </w:tc>
        <w:tc>
          <w:tcPr>
            <w:tcW w:type="dxa" w:w="2076"/>
          </w:tcPr>
          <w:p>
            <w:pPr>
              <w:spacing w:before="0" w:after="0"/>
            </w:pPr>
            <w:r>
              <w:rPr>
                <w:b w:val="0"/>
                <w:sz w:val="16"/>
              </w:rPr>
              <w:t>…the mycorrhiza treatment could still offer potential benefits…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B1</w:t>
            </w:r>
          </w:p>
        </w:tc>
        <w:tc>
          <w:tcPr>
            <w:tcW w:type="dxa" w:w="2076"/>
          </w:tcPr>
          <w:p>
            <w:pPr>
              <w:spacing w:before="0" w:after="0"/>
            </w:pPr>
            <w:r>
              <w:rPr>
                <w:b w:val="0"/>
                <w:sz w:val="16"/>
              </w:rPr>
              <w:t>implies</w:t>
            </w:r>
          </w:p>
        </w:tc>
        <w:tc>
          <w:tcPr>
            <w:tcW w:type="dxa" w:w="2076"/>
          </w:tcPr>
          <w:p>
            <w:pPr>
              <w:spacing w:before="0" w:after="0"/>
            </w:pPr>
            <w:r>
              <w:rPr>
                <w:b w:val="0"/>
                <w:sz w:val="16"/>
              </w:rPr>
              <w:t>This implies that the use of low concentration of B. subtilis…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B4</w:t>
            </w:r>
          </w:p>
        </w:tc>
        <w:tc>
          <w:tcPr>
            <w:tcW w:type="dxa" w:w="2076"/>
          </w:tcPr>
          <w:p>
            <w:pPr>
              <w:spacing w:before="0" w:after="0"/>
            </w:pPr>
            <w:r>
              <w:rPr>
                <w:b w:val="0"/>
                <w:sz w:val="16"/>
              </w:rPr>
              <w:t>may</w:t>
            </w:r>
          </w:p>
        </w:tc>
        <w:tc>
          <w:tcPr>
            <w:tcW w:type="dxa" w:w="2076"/>
          </w:tcPr>
          <w:p>
            <w:pPr>
              <w:spacing w:before="0" w:after="0"/>
            </w:pPr>
            <w:r>
              <w:rPr>
                <w:b w:val="0"/>
                <w:sz w:val="16"/>
              </w:rPr>
              <w:t>…flavonoids and saponins may contribute to its therapeutic effects.</w:t>
            </w:r>
          </w:p>
        </w:tc>
      </w:tr>
      <w:tr>
        <w:trPr>
          <w:cantSplit/>
        </w:trPr>
        <w:tc>
          <w:tcPr>
            <w:tcW w:type="dxa" w:w="2076"/>
          </w:tcPr>
          <w:p>
            <w:pPr>
              <w:spacing w:before="0" w:after="0"/>
            </w:pPr>
            <w:r>
              <w:rPr>
                <w:b w:val="0"/>
                <w:sz w:val="16"/>
              </w:rPr>
              <w:t>Veterinary Medicine</w:t>
            </w:r>
          </w:p>
        </w:tc>
        <w:tc>
          <w:tcPr>
            <w:tcW w:type="dxa" w:w="2076"/>
          </w:tcPr>
          <w:p>
            <w:pPr>
              <w:spacing w:before="0" w:after="0"/>
            </w:pPr>
            <w:r>
              <w:rPr>
                <w:b w:val="0"/>
                <w:sz w:val="16"/>
              </w:rPr>
              <w:t>VM5</w:t>
            </w:r>
          </w:p>
        </w:tc>
        <w:tc>
          <w:tcPr>
            <w:tcW w:type="dxa" w:w="2076"/>
          </w:tcPr>
          <w:p>
            <w:pPr>
              <w:spacing w:before="0" w:after="0"/>
            </w:pPr>
            <w:r>
              <w:rPr>
                <w:b w:val="0"/>
                <w:sz w:val="16"/>
              </w:rPr>
              <w:t>potential</w:t>
            </w:r>
          </w:p>
        </w:tc>
        <w:tc>
          <w:tcPr>
            <w:tcW w:type="dxa" w:w="2076"/>
          </w:tcPr>
          <w:p>
            <w:pPr>
              <w:spacing w:before="0" w:after="0"/>
            </w:pPr>
            <w:r>
              <w:rPr>
                <w:b w:val="0"/>
                <w:sz w:val="16"/>
              </w:rPr>
              <w:t>…highlight the potential of M. calabura L. as a source of antifungal agents…</w:t>
            </w:r>
          </w:p>
        </w:tc>
      </w:tr>
      <w:tr>
        <w:trPr>
          <w:cantSplit/>
        </w:trPr>
        <w:tc>
          <w:tcPr>
            <w:tcW w:type="dxa" w:w="2076"/>
            <w:tcBorders>
              <w:bottom w:val="single" w:sz="18" w:space="0" w:color="000000"/>
            </w:tcBorders>
          </w:tcPr>
          <w:p>
            <w:pPr>
              <w:spacing w:before="0" w:after="0"/>
            </w:pPr>
            <w:r>
              <w:rPr>
                <w:b w:val="0"/>
                <w:sz w:val="16"/>
              </w:rPr>
              <w:t>Veterinary Medicine</w:t>
            </w:r>
          </w:p>
        </w:tc>
        <w:tc>
          <w:tcPr>
            <w:tcW w:type="dxa" w:w="2076"/>
            <w:tcBorders>
              <w:bottom w:val="single" w:sz="18" w:space="0" w:color="000000"/>
            </w:tcBorders>
          </w:tcPr>
          <w:p>
            <w:pPr>
              <w:spacing w:before="0" w:after="0"/>
            </w:pPr>
            <w:r>
              <w:rPr>
                <w:b w:val="0"/>
                <w:sz w:val="16"/>
              </w:rPr>
              <w:t>VM12</w:t>
            </w:r>
          </w:p>
        </w:tc>
        <w:tc>
          <w:tcPr>
            <w:tcW w:type="dxa" w:w="2076"/>
            <w:tcBorders>
              <w:bottom w:val="single" w:sz="18" w:space="0" w:color="000000"/>
            </w:tcBorders>
          </w:tcPr>
          <w:p>
            <w:pPr>
              <w:spacing w:before="0" w:after="0"/>
            </w:pPr>
            <w:r>
              <w:rPr>
                <w:b w:val="0"/>
                <w:sz w:val="16"/>
              </w:rPr>
              <w:t>might</w:t>
            </w:r>
          </w:p>
        </w:tc>
        <w:tc>
          <w:tcPr>
            <w:tcW w:type="dxa" w:w="2076"/>
            <w:tcBorders>
              <w:bottom w:val="single" w:sz="18" w:space="0" w:color="000000"/>
            </w:tcBorders>
          </w:tcPr>
          <w:p>
            <w:pPr>
              <w:spacing w:before="0" w:after="0"/>
            </w:pPr>
            <w:r>
              <w:rPr>
                <w:b w:val="0"/>
                <w:sz w:val="16"/>
              </w:rPr>
              <w:t>…might be effective… but it is not conclusive that ASF is not present…</w:t>
            </w:r>
          </w:p>
        </w:tc>
      </w:tr>
    </w:tbl>
    <w:p w:rsidR="00000000" w:rsidDel="00000000" w:rsidP="00000000" w:rsidRDefault="00000000" w:rsidRPr="00000000" w14:paraId="00000176">
      <w:pPr>
        <w:spacing w:after="0" w:before="0" w:line="480" w:lineRule="auto"/>
        <w:ind w:firstLine="720"/>
        <w:jc w:val="both"/>
        <w:rPr/>
      </w:pPr>
      <w:r>
        <w:rPr>
          <w:rFonts w:ascii="Georgia" w:hAnsi="Georgia" w:eastAsia="Georgia"/>
          <w:sz w:val="22"/>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Fonts w:ascii="Georgia" w:hAnsi="Georgia" w:eastAsia="Georgia"/>
          <w:sz w:val="22"/>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ind w:firstLine="0"/>
        <w:jc w:val="left"/>
      </w:pPr>
      <w:r>
        <w:rPr>
          <w:rFonts w:ascii="Georgia" w:hAnsi="Georgia" w:eastAsia="Georgia"/>
          <w:b/>
          <w:sz w:val="22"/>
        </w:rPr>
        <w:t>Outcome Type and the Limits of a Design Explanation</w:t>
      </w:r>
    </w:p>
    <w:p w:rsidR="00000000" w:rsidDel="00000000" w:rsidP="00000000" w:rsidRDefault="00000000" w:rsidRPr="00000000" w14:paraId="0000019E">
      <w:pPr>
        <w:spacing w:after="0" w:before="0" w:line="480" w:lineRule="auto"/>
        <w:ind w:firstLine="720"/>
        <w:jc w:val="both"/>
        <w:rPr/>
      </w:pPr>
      <w:r>
        <w:rPr>
          <w:rFonts w:ascii="Georgia" w:hAnsi="Georgia" w:eastAsia="Georgia"/>
          <w:sz w:val="22"/>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pageBreakBefore w:val="0"/>
        <w:spacing w:after="0" w:before="720" w:line="480" w:lineRule="auto"/>
        <w:ind w:firstLine="0"/>
        <w:jc w:val="center"/>
        <w:rPr/>
      </w:pPr>
      <w:r>
        <w:rPr>
          <w:b/>
          <w:sz w:val="22"/>
        </w:rPr>
        <w:t>Table 6</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pPr>
        <w:spacing w:line="480" w:lineRule="auto" w:before="240" w:after="0"/>
        <w:ind w:firstLine="0"/>
        <w:jc w:val="left"/>
      </w:pPr>
      <w:r>
        <w:rPr>
          <w:rFonts w:ascii="Georgia" w:hAnsi="Georgia" w:eastAsia="Georgia"/>
          <w:b/>
          <w:sz w:val="22"/>
        </w:rPr>
        <w:t>How Programs Word Caution</w:t>
      </w:r>
    </w:p>
    <w:p w:rsidR="00000000" w:rsidDel="00000000" w:rsidP="00000000" w:rsidRDefault="00000000" w:rsidRPr="00000000" w14:paraId="0000019F">
      <w:pPr>
        <w:spacing w:after="0" w:before="0" w:line="480" w:lineRule="auto"/>
        <w:ind w:firstLine="720"/>
        <w:jc w:val="both"/>
        <w:rPr/>
      </w:pPr>
      <w:r>
        <w:rPr>
          <w:rFonts w:ascii="Georgia" w:hAnsi="Georgia" w:eastAsia="Georgia"/>
          <w:sz w:val="22"/>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On the Table 4 ledger that shows up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ind w:firstLine="720"/>
        <w:jc w:val="both"/>
        <w:rPr/>
      </w:pPr>
      <w:r>
        <w:rPr>
          <w:rFonts w:ascii="Georgia" w:hAnsi="Georgia" w:eastAsia="Georgia"/>
          <w:sz w:val="22"/>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ind w:firstLine="0"/>
        <w:jc w:val="center"/>
      </w:pPr>
      <w:r>
        <w:rPr>
          <w:b/>
          <w:sz w:val="22"/>
        </w:rPr>
        <w:t>Table 6.1</w:t>
      </w:r>
    </w:p>
    <w:p>
      <w:pPr>
        <w:spacing w:line="480" w:lineRule="auto"/>
        <w:ind w:firstLine="0"/>
        <w:jc w:val="center"/>
      </w:pPr>
      <w:r>
        <w:rPr>
          <w:i/>
          <w:sz w:val="22"/>
        </w:rPr>
        <w:t>Program Contrast: Sample Excerpts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Role in contrast</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Excerpt</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B3</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…coliform and E. coli…, indicating unsafe conditions…</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B1</w:t>
            </w:r>
          </w:p>
        </w:tc>
        <w:tc>
          <w:tcPr>
            <w:tcW w:type="dxa" w:w="1661"/>
          </w:tcPr>
          <w:p>
            <w:pPr>
              <w:spacing w:before="0" w:after="0"/>
            </w:pPr>
            <w:r>
              <w:rPr>
                <w:b w:val="0"/>
                <w:sz w:val="16"/>
              </w:rPr>
              <w:t>Retained hedge</w:t>
            </w:r>
          </w:p>
        </w:tc>
        <w:tc>
          <w:tcPr>
            <w:tcW w:type="dxa" w:w="1661"/>
          </w:tcPr>
          <w:p>
            <w:pPr>
              <w:spacing w:before="0" w:after="0"/>
            </w:pPr>
            <w:r>
              <w:rPr>
                <w:b w:val="0"/>
                <w:sz w:val="16"/>
              </w:rPr>
              <w:t>implies</w:t>
            </w:r>
          </w:p>
        </w:tc>
        <w:tc>
          <w:tcPr>
            <w:tcW w:type="dxa" w:w="1661"/>
          </w:tcPr>
          <w:p>
            <w:pPr>
              <w:spacing w:before="0" w:after="0"/>
            </w:pPr>
            <w:r>
              <w:rPr>
                <w:b w:val="0"/>
                <w:sz w:val="16"/>
              </w:rPr>
              <w:t>This implies that the use of low concentration of B. subtilis…</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VM2</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…92% … showed good attitude, indicating a strong sense of empathy…</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VM12</w:t>
            </w:r>
          </w:p>
        </w:tc>
        <w:tc>
          <w:tcPr>
            <w:tcW w:type="dxa" w:w="1661"/>
          </w:tcPr>
          <w:p>
            <w:pPr>
              <w:spacing w:before="0" w:after="0"/>
            </w:pPr>
            <w:r>
              <w:rPr>
                <w:b w:val="0"/>
                <w:sz w:val="16"/>
              </w:rPr>
              <w:t>Retained hedge</w:t>
            </w:r>
          </w:p>
        </w:tc>
        <w:tc>
          <w:tcPr>
            <w:tcW w:type="dxa" w:w="1661"/>
          </w:tcPr>
          <w:p>
            <w:pPr>
              <w:spacing w:before="0" w:after="0"/>
            </w:pPr>
            <w:r>
              <w:rPr>
                <w:b w:val="0"/>
                <w:sz w:val="16"/>
              </w:rPr>
              <w:t>might</w:t>
            </w:r>
          </w:p>
        </w:tc>
        <w:tc>
          <w:tcPr>
            <w:tcW w:type="dxa" w:w="1661"/>
          </w:tcPr>
          <w:p>
            <w:pPr>
              <w:spacing w:before="0" w:after="0"/>
            </w:pPr>
            <w:r>
              <w:rPr>
                <w:b w:val="0"/>
                <w:sz w:val="16"/>
              </w:rPr>
              <w:t>…might be effective… but it is not conclusive…</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w:t>
            </w:r>
          </w:p>
        </w:tc>
        <w:tc>
          <w:tcPr>
            <w:tcW w:type="dxa" w:w="1661"/>
          </w:tcPr>
          <w:p>
            <w:pPr>
              <w:spacing w:before="0" w:after="0"/>
            </w:pPr>
            <w:r>
              <w:rPr>
                <w:b w:val="0"/>
                <w:sz w:val="16"/>
              </w:rPr>
              <w:t>Zero-hedge abstract</w:t>
            </w:r>
          </w:p>
        </w:tc>
        <w:tc>
          <w:tcPr>
            <w:tcW w:type="dxa" w:w="1661"/>
          </w:tcPr>
          <w:p>
            <w:pPr>
              <w:spacing w:before="0" w:after="0"/>
            </w:pPr>
            <w:r>
              <w:rPr>
                <w:b w:val="0"/>
                <w:sz w:val="16"/>
              </w:rPr>
              <w:t>—</w:t>
            </w:r>
          </w:p>
        </w:tc>
        <w:tc>
          <w:tcPr>
            <w:tcW w:type="dxa" w:w="1661"/>
          </w:tcPr>
          <w:p>
            <w:pPr>
              <w:spacing w:before="0" w:after="0"/>
            </w:pPr>
            <w:r>
              <w:rPr>
                <w:sz w:val="16"/>
              </w:rPr>
              <w:t>No retained hedge token in the abstract under the claim condition and the removal checks.</w:t>
            </w:r>
          </w:p>
        </w:tc>
      </w:tr>
      <w:tr>
        <w:trPr>
          <w:cantSplit/>
        </w:trPr>
        <w:tc>
          <w:tcPr>
            <w:tcW w:type="dxa" w:w="1661"/>
            <w:tcBorders>
              <w:bottom w:val="single" w:sz="18" w:space="0" w:color="000000"/>
            </w:tcBorders>
          </w:tcPr>
          <w:p>
            <w:pPr>
              <w:spacing w:before="0" w:after="0"/>
            </w:pPr>
            <w:r>
              <w:rPr>
                <w:b w:val="0"/>
                <w:sz w:val="16"/>
              </w:rPr>
              <w:t>Agriculture</w:t>
            </w:r>
          </w:p>
        </w:tc>
        <w:tc>
          <w:tcPr>
            <w:tcW w:type="dxa" w:w="1661"/>
            <w:tcBorders>
              <w:bottom w:val="single" w:sz="18" w:space="0" w:color="000000"/>
            </w:tcBorders>
          </w:tcPr>
          <w:p>
            <w:pPr>
              <w:spacing w:before="0" w:after="0"/>
            </w:pPr>
            <w:r>
              <w:rPr>
                <w:b w:val="0"/>
                <w:sz w:val="16"/>
              </w:rPr>
              <w:t>Acs2</w:t>
            </w:r>
          </w:p>
        </w:tc>
        <w:tc>
          <w:tcPr>
            <w:tcW w:type="dxa" w:w="1661"/>
            <w:tcBorders>
              <w:bottom w:val="single" w:sz="18" w:space="0" w:color="000000"/>
            </w:tcBorders>
          </w:tcPr>
          <w:p>
            <w:pPr>
              <w:spacing w:before="0" w:after="0"/>
            </w:pPr>
            <w:r>
              <w:rPr>
                <w:b w:val="0"/>
                <w:sz w:val="16"/>
              </w:rPr>
              <w:t>Stacked hedges</w:t>
            </w:r>
          </w:p>
        </w:tc>
        <w:tc>
          <w:tcPr>
            <w:tcW w:type="dxa" w:w="1661"/>
            <w:tcBorders>
              <w:bottom w:val="single" w:sz="18" w:space="0" w:color="000000"/>
            </w:tcBorders>
          </w:tcPr>
          <w:p>
            <w:pPr>
              <w:spacing w:before="0" w:after="0"/>
            </w:pPr>
            <w:r>
              <w:rPr>
                <w:b w:val="0"/>
                <w:sz w:val="16"/>
              </w:rPr>
              <w:t>suggests / might / could / potential</w:t>
            </w:r>
          </w:p>
        </w:tc>
        <w:tc>
          <w:tcPr>
            <w:tcW w:type="dxa" w:w="1661"/>
            <w:tcBorders>
              <w:bottom w:val="single" w:sz="18" w:space="0" w:color="000000"/>
            </w:tcBorders>
          </w:tcPr>
          <w:p>
            <w:pPr>
              <w:spacing w:before="0" w:after="0"/>
            </w:pPr>
            <w:r>
              <w:rPr>
                <w:b w:val="0"/>
                <w:sz w:val="16"/>
              </w:rPr>
              <w:t>…suggests that while statistical significance might not have been observed, the treatment could still offer potential benefits…</w:t>
            </w:r>
          </w:p>
        </w:tc>
      </w:tr>
    </w:tbl>
    <w:p>
      <w:pPr>
        <w:spacing w:line="480" w:lineRule="auto" w:before="240" w:after="0"/>
        <w:ind w:firstLine="0"/>
        <w:jc w:val="left"/>
      </w:pPr>
      <w:r>
        <w:rPr>
          <w:rFonts w:ascii="Georgia" w:hAnsi="Georgia" w:eastAsia="Georgia"/>
          <w:b/>
          <w:sz w:val="22"/>
        </w:rPr>
        <w:t>What the Contrast Can and Cannot Mean</w:t>
      </w:r>
    </w:p>
    <w:p w:rsidR="00000000" w:rsidDel="00000000" w:rsidP="00000000" w:rsidRDefault="00000000" w:rsidRPr="00000000" w14:paraId="000001A1">
      <w:pPr>
        <w:spacing w:after="0" w:before="0" w:line="480" w:lineRule="auto"/>
        <w:ind w:firstLine="720"/>
        <w:jc w:val="both"/>
        <w:rPr/>
      </w:pPr>
      <w:r>
        <w:rPr>
          <w:rFonts w:ascii="Georgia" w:hAnsi="Georgia" w:eastAsia="Georgia"/>
          <w:sz w:val="22"/>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ind w:firstLine="0"/>
        <w:jc w:val="left"/>
      </w:pPr>
      <w:r>
        <w:rPr>
          <w:rFonts w:ascii="Georgia" w:hAnsi="Georgia" w:eastAsia="Georgia"/>
          <w:b/>
          <w:sz w:val="22"/>
        </w:rPr>
        <w:t>Open Readings</w:t>
      </w:r>
    </w:p>
    <w:p w:rsidR="00000000" w:rsidDel="00000000" w:rsidP="00000000" w:rsidRDefault="00000000" w:rsidRPr="00000000" w14:paraId="000001A2">
      <w:pPr>
        <w:spacing w:after="0" w:before="0" w:line="480" w:lineRule="auto"/>
        <w:ind w:firstLine="720"/>
        <w:jc w:val="both"/>
        <w:rPr/>
      </w:pPr>
      <w:r>
        <w:rPr>
          <w:rFonts w:ascii="Georgia" w:hAnsi="Georgia" w:eastAsia="Georgia"/>
          <w:sz w:val="22"/>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Fonts w:ascii="Georgia" w:hAnsi="Georgia" w:eastAsia="Georgia"/>
          <w:sz w:val="22"/>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