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 xml:space="preserve">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 xml:space="preserve">4. What do the frequency and functional patterns suggest about the construction of epistemic stance through hedging among developing researchers?</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 xml:space="preserve">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for the cross-tabulation of type-function pairings that RQ4 required.</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 xml:space="preserve">For writing instructors and thesis advisers at PSAU,</w:t>
      </w:r>
      <w:r>
        <w:rPr>
          <w:b w:val="0"/>
          <w:bCs w:val="0"/>
          <w:rtl w:val="0"/>
        </w:rPr>
        <w:t xml:space="preserve"> the study provides an empirical baseline of how developing researchers in three applied life sciences programs currently manage uncertainty in abstracts. That baseline can support more targeted feedback than generic advice to “be cautious.”</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focuses on undergraduate thesis abstracts from Agriculture, Veterinary Medicine, and Biology at PSAU, covering theses completed between 2023 and 2025.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while sub-program differences are documented separately.</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 xml:space="preserve">This sample size is consistent with comparable corpus-assisted discourse studies at the undergraduate level. Khunasathitchai et al. (2025) analyzed 60 abstracts, and Wang (2022) used similar per-discipline proportions.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zero-inflated sample. However, pilot testing revealed that 75% of the sampled abstracts contained zero hedging devices. The pilot’s 75% zero-hedge rate was higher than the main corpus’s 46.7%, likely reflecting the small pilot sample size (4 abstracts) rather than a systematic difference between the pilot and main corpora. The study acknowledges the high likelihood of a zero-inflated dataset. While the absence of hedging prevents a robust comparative analysis of hedge variety, it is treated in this study as a valid indicator of categorical claim formulation rather than a methodological failure.</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 xml:space="preserve">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booster count was performed only on the 28 zero-hedge abstracts to check whether the absence of hedges coincided with assertive language; a full booster analysis across the corpus was not undertaken.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60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indicates a stance of certainty or absolute commitment.</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coded in this study based on Hyland’s (1998) framework.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Pro Forma Hedging, </w:t>
      </w:r>
      <w:r>
        <w:rPr>
          <w:rFonts w:ascii="Georgia" w:cs="Georgia" w:eastAsia="Georgia" w:hAnsi="Georgia"/>
          <w:b w:val="0"/>
          <w:bCs w:val="0"/>
          <w:i w:val="0"/>
          <w:iCs w:val="0"/>
          <w:sz w:val="22"/>
          <w:szCs w:val="22"/>
          <w:rtl w:val="0"/>
        </w:rPr>
        <w:t xml:space="preserve">conceptually, pro forma hedging refers to the deployment of hedge-like lexical items (e.g., potential) in formulaic syntactic frames without corresponding adjustment of the writer’s commitment to the claim. Operationally, this term is applied in the present study to the observed pattern where a single lexical token (“potential”) appears in nearly identical syntactic positions across multiple abstracts while all hedges serve a single function. The term is offered as a descriptive label, not as an established construct in the hedging literature.</w:t>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 xml:space="preserve">A pilot test was conducted on 4 abstracts not included in the final corpus to refine the coding scheme and establish decision rules for ambiguous cases (see Appendix A). Pilot abstracts were drawn from the PSAU library archives but from theses completed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 xml:space="preserve">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REVISIONS AND BORDERLINE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Following an initial coding pass, borderline tokens were re-examined using the contextual decision rules in Appendix A. Particular attention was given to potentially ambiguous forms such as can, potential, indicating, and possibility, because these forms may function either as epistemic hedges or as non-epistemic lexical items depending on context. Four rule refinements were applied during this revision pass. First, “can” combined with an active content verb describing a treatment effect (enhance, promote, reduce, help) was classified as capability (FP-Cap) regardless of whether it appeared inside a “suggests that” clause, because the Working Test showed that removing “can” alone did not change the epistemic weight of the clause when “suggests” was already carrying the hedge. Second, the “indicating” tautology test was extended beyond numeric restatement to cover field-standard interpretive thresholds: “non-toxic” from no mortality observed, “limited benefits” from poor performance, and “superior feed efficiency” from lower feed conversion ratio were all reclassified as operational restatements (FP-Gen) rather than inferential hedges. Third, the “potential + noun” topic-naming rule was extended to “possibility + noun” in aim and methods sentences. Structural position is used as a coding heuristic for these forms, but the Working Test takes priority when the two conflict: a token that changes epistemic commitment is coded as a Lexical hedge (EC) even in an introduction or rationale sentence. Fourth, a multi-hedge Working Test rule was added: when a sentence contains multiple hedge-like tokens, each token is tested individually in isolation, ignoring the other hedges in the sentence; a token counts only if removing it alone changes the epistemic weight of its own clause. The final corpus therefore reflects contextual rather than purely lexical classification, and the 63 rejected candidates document the decision trail for tokens that were considered but ultimately excluded. Additionally, the outlier abstract Acs2 was found to use a repeated hedging template (“This suggests that while X might not have been Y, Z could still [verb] beneficial effects”) twice with light variation, inflating its own token count through formulaic repetition rather than independent hedging decisions.</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and Wang (2022) used similar per-discipline proportions.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 xml:space="preserve">Inclusion Criteria. </w:t>
      </w:r>
      <w:r>
        <w:rPr>
          <w:rFonts w:ascii="Georgia" w:cs="Georgia" w:eastAsia="Georgia" w:hAnsi="Georgia"/>
          <w:b w:val="0"/>
          <w:bCs w:val="0"/>
          <w:i w:val="0"/>
          <w:iCs w:val="0"/>
          <w:sz w:val="22"/>
          <w:szCs w:val="22"/>
          <w:rtl w:val="0"/>
        </w:rPr>
        <w:t xml:space="preserve">English-language undergraduate thesis abstracts; complete abstracts available in the PSAU library archives; clear disciplinary classification based on official degree program; thesis completion between 2023 and 2025.</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 xml:space="preserve">Non-English abstracts or abstracts with significant Filipino code-switching; graduate-level theses; theses submitted under interdisciplinary degree programs (e.g., Environmental Science) where a single disciplinary affiliation cannot be determined; theses completed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 xml:space="preserve">Abstracts were accessed on-site at the PSAU Library with proper authorization. Student names and thesis titles were fully anonymized using discipline codes (Acs1–Acs10, Aas1–Aas10, VM1–VM20, B1–B20) before analysis began.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what the frequency and functional patterns suggest about the discipline-specific hedging profile of developing researchers.</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60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35.0%</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36</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60.0%</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5.0%</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 xml:space="preserve">Table 2 presents the overall distribution of hedge types. Lexical hedges dominated the corpus with 36 instances (60.0%), followed by modal verbs with 21 instances (35.0%), and adverbial hedges with 3 instances (5.0%).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 xml:space="preserve">Within the lexical hedge category, the token “potential” accounted for 14 of the 36 lexical instances (38.9%), the single most frequent hedge token in the corpus. Other frequent lexical forms included “suggests” (7), “indicating” (6), and “suggesting” (3). Modal verbs were led by “can” (9), “could” (7), and “may” (6). Concordance of the 14 potential instances shows recurring frames such as “the potential of X as a Y,” “has potential as an X,” and “highlight their potential as X.” That recurrence supports reading many uses as learned formula rather than fully calibrated epistemic choice. Agriculture and Biology account for 11 of the 14 instances; Veterinary Medicine for 3.</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(53.8%)</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12 (46.2%)</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(20.0%)</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17 (68.0%)</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(12.0%)</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(22.2%)</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7 (77.8%)</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(35.0%)</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36 (60.0%)</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(5.0%)</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53.8% vs. 12 lexical hedges, 46.2%), while Biology is heavily lexical (17 of 25 hedges, 68.0%, with only 5 modal verbs). Veterinary Medicine, with only 9 total hedges, is also predominantly lexical (7 of 9, 77.8%).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63 false positive tokens, hedge-like words that were initially flagged but rejected after applying the codebook’s Working Test. The false positive breakdown shows FP-Gen (general exclusion, including topic-naming and evidential pointers) at 38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stricter rule for “potential + noun” constructions based on structural position rather than verb choice. This disambiguation rule is the most methodologically interesting feature of the coding scheme, as it demonstrates that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 xml:space="preserve">Additionally, 37 unhedged assertion sites were identified in the 28 zero-hedge abstracts. Of these, 24 were classified as result claims [R], 9 as generalizations [G], and 4 as causal claims [C]. These sites represent clauses where a hedge could have been inserted without changing the underlying facts, but the writer chose to state the claim with bare certainty. The presence of these unhedged sites in abstracts that contain zero hedges indicates an absence of overt hedging rather than cautious reporting. Expert abstracts rarely contain zero hedges (Hyland, 1998), making the 46.7% zero-hedge rate in this corpus a sharp departure from expert norms.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 xml:space="preserve">Booster analysis of the 28 zero-hedge abstracts revealed 88 booster tokens, averaging approximately 3.1 boosters per abstract. The most frequent boosters were showed (18 instances), revealed (13), observed (12), and highest (12). This density of assertive markers confirms that zero-hedge abstracts do not represent neutral reporting but rather an absence of overt hedging, where findings are stated with emphatic rather than tentative language.</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26</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0.60</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35</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7</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0.55</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9</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13</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0.18</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63</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0.43</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 xml:space="preserve">Table 4 shows that Agriculture had the highest hedge density at 0.60 per 100 words (26 hedges across 4,300 words), followed by Biology at 0.55 (25 hedges across 4,509 words), and Veterinary Medicine at 0.18 (9 hedges across 5,060 words). The overall corpus density was 0.43 hedges per 100 words. Agriculture’s lead over Biology is modest (0.05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28 (46.7%) contained zero hedge tokens. Veterinary Medicine accounted for 13 of these zero-hedge abstracts (65% of VM abstracts), Biology for 7 (35%), and Agriculture for 8 (40%). The overrepresentation of Veterinary Medicine in the zero-hedge category is the primary driver of its low density. More than half of VM abstracts contained no hedging devices at all, compared to 40% in Agriculture and 35% in Biology. A chi-square test of independence on the zero-hedge distribution across disciplines (discipline × zero/nonzero) was not significant (χ² = 4.15, df = 2, p = 0.13),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 xml:space="preserve">Per-abstract hedge distributions reveal substantial skew. Agriculture abstracts averaged 1.30 hedges (median = 1, SD = 1.84, range = 0–8), Biology averaged 1.25 (median = 1, SD = 1.25, range = 0–4), and Veterinary Medicine averaged 0.45 (median = 0, SD = 0.76, range = 0–3). The high standard deviation in Agriculture reflects the influence of Acs2, which contained 8 hedges alone. When Acs2 is excluded as a sensitivity check, Agriculture's density drops to 0.44 per 100 words, below Biology's 0.55, suggesting that the Agriculture &gt; Biology ranking is partly driven by a single outlier abstract. An exploratory Kruskal-Wallis test on per-abstract hedge counts yielded H ≈ 5.91, p ≈ .052, suggesting a possible difference in the distribution of hedge counts across disciplines. Given the small sample size and zero-inflated distribution, this result should be treated as preliminary rather than as evidence of a significant disciplinary difference.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One possible explanation relates to the nature of VM research in this corpus. Many VM abstracts reported clinical findings from animal studies (e.g., drug efficacy trials, disease detection, hematological profiling). Several abstracts in the VM subset involved diagnostic or presence/absence-type outcomes, which may provide one possible explanation for the relatively categorical reporting observed in this corpus. A writer who finds that “no positive results were observed” may see little need to hedge, since the absence of a finding is reported as a fact rather than an interpretation. This is consistent with Salager-Meyer’s (1994) claim-responsibility framework: when the evidence is binary, the epistemic responsibility is lower, and hedging becomes less necessary.</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35 false positives, far more than Agriculture (15) or Veterinary Medicine (13).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 xml:space="preserve">All 60 hedge tokens in the corpus served the function of Epistemic Caution (EC). No instances of Politeness/Deference (P) or Discourse Organization (DO) were identified. Table 5 presents the function distribution.</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 xml:space="preserve">The relationship between hedge type and function further illuminates the patterns. Modal verbs (21 instances, all EC) were used almost exclusively to express possibility about results or implications, as in “the biosynthesis... may affect the overall development.” Lexical hedges (36 instances, all EC) were used to qualify the strength of findings, as in “results suggest that fermented banana peel... can significantly enhance growth.” The convergence of all hedge types on a single function reinforces the interpretation that these writers view hedging primarily as a tool for managing factual certainty, not for managing social or textual relationships.</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IV: DISCIPLINE-SPECIFIC HEDGING PROFILES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 xml:space="preserve">Parts I through III show three observable patterns in this corpus. As reported in Part II, statistical support is borderline (Kruskal-Wallis p ≈ .052; chi-square on zero-hedge rates p = .13),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Agriculture: An observed pattern suggestive of cautious implication, though outlier-dependent. As noted in Part II, the Agriculture–Biology density contrast is sensitive to Acs2 and is better treated as marginal than as a stable ranking. Within that caveat, the near balance of modal verbs and lexical hedges in this subset, and the clustering of tokens such as potential and suggests in conclusion sentences, point to hedging of practical implications rather than of measured results. That reading fits Salager-Meyer’s (1994) distributed claim responsibility: the finding is stated with certainty; the application is softened. It may also reflect the practical orientation of agricultural research in this corpus.</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Biology: A pattern suggestive of lexical caution with topic-naming. Biology’s density sits close to Agriculture’s overall rate (Part II), but its hedges are predominantly lexical, with potential often appearing in aim statements as topic-naming rather than as a hedge on a claim (see also the false-positive discussion in Part II). When potential is retained as a hedge, it usually softens an implication. The profile is less about sparse reporting than about a narrow set of lexical forms doing most of the work.</w:t>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 A pattern suggestive of assertive reporting. Part II already shows VM’s low density and high zero-hedge share. In this subset, factive verbs (showed, revealed, demonstrated, confirmed) often carry results without qualification. Several abstracts report diagnostic or presence/absence outcomes, where a binary finding can reasonably be stated as fact. The same categorical tone often extends to implications. The contrast with Agriculture and Biology is the clearest disciplinary difference in the corpus, though whether it reflects field norms, adviser expectations, or outcome type remains open.</w:t>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Across the three disciplines, Veterinary Medicine’s sparse, assertive profile is the most robust contrast in this corpus. The Agriculture–Biology difference is marginal and partly outlier-driven. Whether these patterns reflect internalized field norms or local supervisory practice cannot be settled from the texts alone.</w:t>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xml:space="preserve">Three observations support a descriptive label of pro forma hedging, not a confirmed construct: (1) potential accounts for a large share of lexical hedges and recurs in near-identical frames (Part I); (2) all retained hedges serve a single function (Part III); (3) nearly half of abstracts contain no hedges at all (Part II). When hedging appears, it often looks like a learned lexical shell rather than calibrated stance. The label aligns with Demir’s (2018) account of L2 underuse and Petchkij’s (2019) observation that instruction can raise frequency without fully expanding functional range. It remains a hypothesis for replication with inter-rater coding and expert-abstract comparison.</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 xml:space="preserve">Lexical hedges outnumber modal verbs in this corpus, largely because of formulaic potential. Density is highest in Agriculture, then Biology, then Veterinary Medicine, with nearly half of abstracts containing no coded hedges. Every retained hedge was coded as Epistemic Caution.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 xml:space="preserve">Disciplinary differentiation is present but uneven. Veterinary Medicine’s sparse, assertive profile is the clearest contrast. Agriculture’s edge over Biology is modest and outlier-sensitive. The patterns are consistent with field-specific epistemic demands (Salager-Meyer, 1994) among developing writers, but statistical evidence is borderline (Kruskal-Wallis p ≈ .052) and the sample is small. The study provides a local baseline, not a general law.</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 xml:space="preserve">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Instruction should also distinguish topic-naming potential in aim statements from epistemic potential in conclusions, without treating hedging as a quota to fill.</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this would support the binary-outcome interpretation. If VM advisers do not address hedging at all, this would support the awareness-deficit interpretation.</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should examine boosters (e.g., clearly, demonstrated, confirmed) alongside hedges to provide a fuller picture of epistemic stance, since some abstracts in this corpus contain zero hedges but still make assertive claims that may involve booster language.</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 xml:space="preserve">rEFLections, 32</w:t>
      </w:r>
      <w:r>
        <w:rPr>
          <w:rFonts w:ascii="Georgia" w:cs="Georgia" w:eastAsia="Georgia" w:hAnsi="Georgia"/>
          <w:b w:val="0"/>
          <w:bCs w:val="0"/>
          <w:i w:val="0"/>
          <w:iCs w:val="0"/>
          <w:sz w:val="22"/>
          <w:szCs w:val="22"/>
          <w:rtl w:val="0"/>
        </w:rPr>
        <w:t xml:space="preserve">(2), 951–970.</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 xml:space="preserve">https://doi.org/10.47772/IJRISS.2025.91100485</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color w:val="000000"/>
          <w:sz w:val="22"/>
          <w:szCs w:val="22"/>
          <w:rtl w:val="0"/>
        </w:rPr>
        <w:t xml:space="preserve">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Stricter rule for “potential + noun” constructions: if the phrase sits in an introduction/rationale sentence (motivating why the topic matters, before any data is presented), treat as topic-naming (FP-Gen) regardless of the verb used. If it sits in a results/conclusion sentence qualifying a claim about findings, treat as a Lexical hedge (EC). The distinction is structural position, not verb choice. Prefer the Working Test over structural position when the two conflict: if removing the token changes the writer’s commitment to a proposition, code it as a Lexical hedge (EC) even in an introduction or rationale sentence.</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Brgy. San Roque, Magalang, Pampanga.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Sitio Pitabacan, San Ildefonso, Magalang, Pampanga.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 xml:space="preserve">This appendix presents the 60 abstracts with all coding marks applied. Layer 1 = color highlight on hedge tokens (blue = Modal Verbs, red = Lexical Hedges, yellow = Adverbial Hedges, green = Clause-Level Hedges). Layer 2 = function label in colored text (EC = orange, P = purple, DO = teal). False positives = strikethrough + reason code in grey.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Sitio Cananaoan,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Magalang Public Market, Pampanga and UCO. The preliminary trials established that molding faces some difficulty with increased ratios of UCO to SUPs. Thus,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0 hedges  ·  0.0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Manila Bay, which is highly polluted due to anthropogenic activities, these regions become vulnerable to bacterial infestation. Mycobacteriosis is a significant concern in cultivated milkfish, impacting both fish health and aquaculture productivity is reported in Nueva Ecija and in parts of Central Luzon. Hence, this study aimed to investigate the presence of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mycobacterial infections in cultivated milkfish collected from fish-supplying areas of Pampanga. Using the Ziehl-Neelsen stain for acid-fast bacteria detection, along with biochemical testing methods such as the catalase test and assessing growth in the presence of the Salt Tolerance Test, </w:t>
      </w:r>
      <w:r>
        <w:rPr>
          <w:rFonts w:ascii="Georgia" w:cs="Georgia" w:eastAsia="Georgia" w:hAnsi="Georgia"/>
          <w:b w:val="1"/>
          <w:bCs w:val="1"/>
          <w:strike w:val="0"/>
          <w:color w:val="000000"/>
          <w:sz w:val="22"/>
          <w:szCs w:val="22"/>
          <w:shd w:fill="bfbfbf" w:val="clear"/>
          <w:rtl w:val="0"/>
        </w:rPr>
        <w:t xml:space="preserve">revealed the presence of acid-fast bacteria in the tissues of infected milkfish, confirming the occurrence of mycobacteriosis infection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w:t>
      </w:r>
      <w:r>
        <w:rPr>
          <w:rFonts w:ascii="Georgia" w:cs="Georgia" w:eastAsia="Georgia" w:hAnsi="Georgia"/>
          <w:b w:val="1"/>
          <w:bCs w:val="1"/>
          <w:strike w:val="0"/>
          <w:color w:val="000000"/>
          <w:sz w:val="22"/>
          <w:szCs w:val="22"/>
          <w:shd w:fill="bfbfbf" w:val="clear"/>
          <w:rtl w:val="0"/>
        </w:rPr>
        <w:t xml:space="preserve">the combination of Ziehl-Neelsen staining, biochemical testing like the catalase test, and evaluating growth in the presence of the Salt Tolerance Test provides a comprehensive approach for diagnosing and studying mycobacteriosis in cultivated milkfish</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offering insights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guide effective management strategies to control the spread of this disease in aquaculture system.</w:t>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0 hedges  ·  0.0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quorum quenching (QQ) activities. In this study, lactic acid bacteria were obtained from a parallel study, and the antimicrobial activity of the top 10 isolates was evaluated through spectrophotometric and turbidimetric analyses for the initial screening of gut isolates. </w:t>
      </w:r>
      <w:r>
        <w:rPr>
          <w:rFonts w:ascii="Georgia" w:cs="Georgia" w:eastAsia="Georgia" w:hAnsi="Georgia"/>
          <w:b w:val="1"/>
          <w:bCs w:val="1"/>
          <w:strike w:val="0"/>
          <w:color w:val="000000"/>
          <w:sz w:val="22"/>
          <w:szCs w:val="22"/>
          <w:shd w:fill="bfbfbf" w:val="clear"/>
          <w:rtl w:val="0"/>
        </w:rPr>
        <w:t xml:space="preserve">Nine out of ten isolates exhibit quorum quenching activities by inhibiting the swarming motility of Pseudomonas aeruginosa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metabolic compounds of the isolates were subjected to initial characterization using enzyme and pH neutralization, which revealed that organic acids were responsible for the inhibitory activity. </w:t>
      </w:r>
      <w:r>
        <w:rPr>
          <w:rFonts w:ascii="Georgia" w:cs="Georgia" w:eastAsia="Georgia" w:hAnsi="Georgia"/>
          <w:b w:val="1"/>
          <w:bCs w:val="1"/>
          <w:strike w:val="0"/>
          <w:color w:val="000000"/>
          <w:sz w:val="22"/>
          <w:szCs w:val="22"/>
          <w:shd w:fill="bfbfbf" w:val="clear"/>
          <w:rtl w:val="0"/>
        </w:rPr>
        <w:t xml:space="preserve">The inhibition activity of LAB isolates against the quorum sensing-mediated swarming motility in P. aeruginosa was due to strong antibacterial activity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4 hedges  ·  1.79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severe pathogen that has developed resistance to several types of antibiotics. MRSA bacteria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long on surfaces and objects, including second-hand clothing (SHC). The increasing popularity of SHC or “ukay-ukay” in the Philippines, coupled with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three selected stalls in Sta. Cruz, Magalang, Pampanga.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public health risks associated with the handling and purchasing of second-hand clothing. This study, therefore, underscores the need for proper precautions to mitigate the spread of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harmful bacteria, including MRSA, on second-hand clothing. It highlights the importance of raising awareness among both vendors and consumers about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health risks associated with these garments.</w:t>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Barangay Batang 2nd, 14 visitors in the Batang 2nd Staging Area,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Magalang Public Market.. The study aimed to profile handling practices of egg vendors, detect E. coli and Salmonella spp. on retail chicken eggs sold in Magalang Public market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Mexico, Pampanga.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Angeles City Veterinary Clinic.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0 hedges  ·  0.0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health risks to aquatic species and humans through seafood consumption. This study was conducted to detect microplastics in Whiteleg shrimp (Litopenaeus vannamei) sold at the Magalang Pampanga Market.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w:t>
      </w:r>
      <w:r>
        <w:rPr>
          <w:rFonts w:ascii="Georgia" w:cs="Georgia" w:eastAsia="Georgia" w:hAnsi="Georgia"/>
          <w:b w:val="1"/>
          <w:bCs w:val="1"/>
          <w:strike w:val="0"/>
          <w:color w:val="000000"/>
          <w:sz w:val="22"/>
          <w:szCs w:val="22"/>
          <w:shd w:fill="bfbfbf" w:val="clear"/>
          <w:rtl w:val="0"/>
        </w:rPr>
        <w:t xml:space="preserve">A total of 181 microplastics were detected across all samples, wherein the concentration of microplastics was higher in Treatment 1</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cs="Georgia" w:eastAsia="Georgia" w:hAnsi="Georgia"/>
          <w:b w:val="1"/>
          <w:bCs w:val="1"/>
          <w:strike w:val="1"/>
          <w:color w:val="000000"/>
          <w:sz w:val="22"/>
          <w:szCs w:val="22"/>
          <w:rtl w:val="0"/>
        </w:rPr>
        <w:t xml:space="preserve">recommend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removing the shrimp’s GIT during preparation to avoid ingestion, use fishing gear made from durable or natural materials, regularly maintain and replace worn equipment, and properly dispose of plastics instead of discarding them into water bodies.</w:t>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District Hospital, Magalang, Pampanga,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meat retail stores in selected areas of Magalang, Pampanga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Magalang.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Mabalacat City, Pampanga,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Pampang Public Market, Angeles City.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Barangay Bucanan, Magalang, Pampanga,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Barangay Pandacaqui, Mexico, Pampanga,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Telapayong, Arayat, Pampanga.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Barangay San Agustin, Magalang, Pampanga,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Lapaz , Magalang Pampanga,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Mitla Proper, Porac, Pampanga,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Parulung, Concepcion, and Tarlac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Sitio. Mapaco, Talimundoc Marimla Concepcion, and Tarlac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Barangay Bucanan, Magalang, Pampanga.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Marbea, Magalang, Pampanga.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1 hedges  ·  0.32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drive animal production systems to find new sources of high-quality and sustainable protein feed raw materials. Fortunately, insect farming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seen as a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San Ildefonso, Magalang, Pampanga.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EJR ANNE FARM, San Ildefonso, Magalang, Pampanga from April 25 to April 30, 2023 to find out the “Efficacy of Diatomaceous Earth (DE) and Neem Tree Extract (Azadirachta indica) on House Fly Larvae (Musca domestica) on Poultry Manure”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w:t>
      </w:r>
      <w:r>
        <w:rPr>
          <w:rFonts w:ascii="Georgia" w:cs="Georgia" w:eastAsia="Georgia" w:hAnsi="Georgia"/>
          <w:b w:val="1"/>
          <w:bCs w:val="1"/>
          <w:strike w:val="0"/>
          <w:color w:val="000000"/>
          <w:sz w:val="22"/>
          <w:szCs w:val="22"/>
          <w:shd w:fill="bfbfbf" w:val="clear"/>
          <w:rtl w:val="0"/>
        </w:rPr>
        <w:t xml:space="preserve">The results disclosed that the percentage of mortality and moisture content were statistically significant at 1% (P&lt;0.01) and (P&lt;0.05) level with 48 hours after the post-treatment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mortality rate and moisture content were not significant after 6 hours and 24 hours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Therefore,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for future researchers to add Diatomaceous earth and neem tree extract and check the humidity. Extend data collection for 72 hours and 96 hours for future study.</w:t>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Sitio Corba, San Vicente, Concepcion, Tarlac,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