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tl w:val="0"/>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sidDel="00000000" w:rsidR="00000000" w:rsidRPr="00000000">
        <w:rPr>
          <w:i w:val="1"/>
          <w:iCs w:val="1"/>
          <w:rtl w:val="0"/>
        </w:rPr>
        <w:t xml:space="preserve">dapat</w:t>
      </w:r>
      <w:r w:rsidDel="00000000" w:rsidR="00000000" w:rsidRPr="00000000">
        <w:rPr>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25">
      <w:pPr>
        <w:spacing w:after="0" w:before="0" w:line="480" w:lineRule="auto"/>
        <w:ind w:firstLine="720"/>
        <w:jc w:val="both"/>
        <w:rPr/>
      </w:pPr>
      <w:r w:rsidDel="00000000" w:rsidR="00000000" w:rsidRPr="00000000">
        <w:rPr>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7">
      <w:pPr>
        <w:spacing w:after="0" w:before="0" w:line="480" w:lineRule="auto"/>
        <w:ind w:firstLine="720"/>
        <w:jc w:val="both"/>
        <w:rPr/>
      </w:pPr>
      <w:r w:rsidDel="00000000" w:rsidR="00000000" w:rsidRPr="00000000">
        <w:rPr>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p>
    <w:p w:rsidR="00000000" w:rsidDel="00000000" w:rsidP="00000000" w:rsidRDefault="00000000" w:rsidRPr="00000000" w14:paraId="00000028">
      <w:pPr>
        <w:spacing w:after="0" w:before="0" w:line="480" w:lineRule="auto"/>
        <w:ind w:firstLine="720"/>
        <w:jc w:val="both"/>
        <w:rPr/>
      </w:pPr>
      <w:r w:rsidDel="00000000" w:rsidR="00000000" w:rsidRPr="00000000">
        <w:rPr>
          <w:rtl w:val="0"/>
        </w:rPr>
        <w:t xml:space="preserve">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pPr>
      <w:r w:rsidDel="00000000" w:rsidR="00000000" w:rsidRPr="00000000">
        <w:rPr>
          <w:rtl w:val="0"/>
        </w:rPr>
        <w:t xml:space="preserve">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2B">
      <w:pPr>
        <w:spacing w:after="0" w:before="0" w:line="480" w:lineRule="auto"/>
        <w:ind w:firstLine="720"/>
        <w:jc w:val="both"/>
        <w:rPr/>
      </w:pPr>
      <w:r w:rsidDel="00000000" w:rsidR="00000000" w:rsidRPr="00000000">
        <w:rPr>
          <w:rtl w:val="0"/>
        </w:rPr>
        <w:t xml:space="preserve">Since this study does not measure English proficiency independently, observed patterns may reflect L2 constraints, disciplinary socialization, or both. The aim is a descriptive baseline.</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 xml:space="preserve">Philippine and regional findings align with this picture. ASEAN learner data, including Philippine samples, show a preference for boosters over hedges and overuse of intensifiers such as </w:t>
      </w:r>
      <w:r w:rsidDel="00000000" w:rsidR="00000000" w:rsidRPr="00000000">
        <w:rPr>
          <w:i w:val="1"/>
          <w:iCs w:val="1"/>
          <w:rtl w:val="0"/>
        </w:rPr>
        <w:t xml:space="preserve">completely, really, and always</w:t>
      </w:r>
      <w:r w:rsidDel="00000000" w:rsidR="00000000" w:rsidRPr="00000000">
        <w:rPr>
          <w:rtl w:val="0"/>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 xml:space="preserve">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and his polypragmatic model distinguishes content-oriented hedges (accuracy and reliability of the claim) from reader-oriented hedges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 xml:space="preserve">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(EC). The Reader Test asks whether epistemic weight stays the same but the claim reaches the reader more bluntly or the writer takes sole ownership against prior work (P). When a token both reduces commitment and softens interpersonal force, it is coded EC with a concurrent P reading under the Working Test path, not as two independent test passes. Non-claims and tokens that meet neither check are logged as FP.</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 xml:space="preserve">Hedge Function</w:t>
      </w:r>
      <w:r w:rsidDel="00000000" w:rsidR="00000000" w:rsidRPr="00000000">
        <w:rPr>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 xml:space="preserve">Operational Restatement (Threshold Restatement)</w:t>
      </w:r>
      <w:r w:rsidDel="00000000" w:rsidR="00000000" w:rsidRPr="00000000">
        <w:rPr>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sidDel="00000000" w:rsidR="00000000" w:rsidRPr="00000000">
        <w:rPr>
          <w:i w:val="1"/>
          <w:iCs w:val="1"/>
          <w:rtl w:val="0"/>
        </w:rPr>
        <w:t xml:space="preserve">indicating</w:t>
      </w:r>
      <w:r w:rsidDel="00000000" w:rsidR="00000000" w:rsidRPr="00000000">
        <w:rPr>
          <w:rtl w:val="0"/>
        </w:rPr>
        <w:t xml:space="preserve">”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Softening</w:t>
      </w:r>
      <w:r w:rsidDel="00000000" w:rsidR="00000000" w:rsidRPr="00000000">
        <w:rPr>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r w:rsidDel="00000000" w:rsidR="00000000" w:rsidRPr="00000000">
        <w:rPr>
          <w:rtl w:val="0"/>
        </w:rPr>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 xml:space="preserve">Alongside the 65 retained EC hedges (and P = 0), the corpus yielded 65 false positive tokens, hedge-like words that failed the claim condition or both removal checks at Step 2. Table 6 (Part III) places these totals side by side. The false positive breakdown shows FP-Gen (general exclusion, including topic-naming and evidential pointers) at 3</w:t>
      </w:r>
      <w:r w:rsidDel="00000000" w:rsidR="00000000" w:rsidRPr="00000000">
        <w:rPr>
          <w:rtl w:val="0"/>
        </w:rPr>
        <w:t xml:space="preserve">9</w:t>
      </w:r>
      <w:r w:rsidDel="00000000" w:rsidR="00000000" w:rsidRPr="00000000">
        <w:rPr>
          <w:strike w:val="0"/>
          <w:rtl w:val="0"/>
        </w:rPr>
        <w:t xml:space="preserve"> instances, FP-Rec (recommendations) at 15, FP-Proc (procedural norms) at 2, and FP-Cap (capability) at </w:t>
      </w:r>
      <w:r w:rsidDel="00000000" w:rsidR="00000000" w:rsidRPr="00000000">
        <w:rPr>
          <w:rtl w:val="0"/>
        </w:rPr>
        <w:t xml:space="preserve">9</w:t>
      </w:r>
      <w:r w:rsidDel="00000000" w:rsidR="00000000" w:rsidRPr="00000000">
        <w:rPr>
          <w:strike w:val="0"/>
          <w:rtl w:val="0"/>
        </w:rPr>
        <w:t xml:space="preserve">. The high number of FP-Gen tokens reflects topic-naming potential and similar non-claim frames rather than a pre-filter applied before Step 2.</w:t>
      </w:r>
      <w:r w:rsidDel="00000000" w:rsidR="00000000" w:rsidRPr="00000000">
        <w:rPr>
          <w:rtl w:val="0"/>
        </w:rPr>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 xml:space="preserve">FPs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 xml:space="preserve">Table 6 summarizes Step 2 outcomes for the coding pool. Of the retained hedges, all 65 were coded Epistemic Caution (EC). Politeness/Deference is null (P = 0). False positives totaled 65 (FP-Gen 39, FP-Rec 15, FP-Cap 9, FP-Proc 2). Those 65 failed the claim condition or both removal checks (reason codes: FP-Gen, FP-Rec, FP-Cap, FP-Proc). The direct comparison is therefore EC = 65, P = 0, FP = 65.</w:t>
      </w:r>
      <w:r w:rsidDel="00000000" w:rsidR="00000000" w:rsidRPr="00000000">
        <w:rPr>
          <w:rtl w:val="0"/>
        </w:rPr>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 xml:space="preserve">Step 2 Outcomes: EC, P, and FP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 xml:space="preserve">Epistemic Caution (EC)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 xml:space="preserve">Politeness/Deference (P)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 xml:space="preserve">False positive (FP)</w:t>
            </w:r>
            <w:r w:rsidDel="00000000" w:rsidR="00000000" w:rsidRPr="00000000">
              <w:rPr>
                <w:rtl w:val="0"/>
              </w:rPr>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 xml:space="preserve">Logged candidates only (65 retained + 65 FP),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EC) almost exclusively marked possibility about results or implications, while Lexical hedges (42 instances, all EC)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 xml:space="preserve">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