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Across the 60 abstracts, hedging is present but uneven. Lexical forms, especially potential in results and implication frames, dominate the retained set. Modal verbs are secondary. Adverbial and clause-level hedges are rare or absent. A large share of abstracts carry no coded hedges at all. Under Stage 1–2 coding, every retained token was labeled Epistemic Caution. No politeness candidates appeared in the corpus, and sequence-only discourse markers were not counted as hedges. That functional profile describes this sample’s retained set. It is not a claim that interpersonal or discourse mitigation never occurs in student writing.</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contrast is limited and should be read carefully. Veterinary Medicine shows the lowest density. Agriculture and Biology sit closer together, and Agriculture’s apparent edge is sensitive to a single high-hedge abstract. Rescue-hedging after a non-significant result appears in that outlier and connects to the study’s opening concern with overclaiming, but one text cannot ground a Null/NS pattern for the discipline. Field norms, adviser practice, and study-design mix remain entangled. The study’s main contribution is a local baseline for how ratified undergraduate abstracts at PSAU manage epistemic stance through hedging. The profile is narrow in type, uneven in density, and epistemically focused among the tokens that met the coding rules. It is not a full map of disciplinary style.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