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240"/>
        <w:ind w:firstLine="0"/>
        <w:jc w:val="center"/>
      </w:pPr>
      <w:r>
        <w:rPr>
          <w:rFonts w:ascii="Georgia" w:hAnsi="Georgia" w:eastAsia="Georgia"/>
          <w:b/>
          <w:i w:val="0"/>
          <w:sz w:val="24"/>
        </w:rPr>
        <w:t>RESULTS, ANALYSIS, AND DISCUSSION</w:t>
      </w:r>
    </w:p>
    <w:p>
      <w:pPr>
        <w:spacing w:line="480" w:lineRule="auto" w:before="0" w:after="0"/>
        <w:ind w:firstLine="720"/>
        <w:jc w:val="both"/>
      </w:pPr>
      <w:r>
        <w:rPr>
          <w:rFonts w:ascii="Georgia" w:hAnsi="Georgia" w:eastAsia="Georgia"/>
          <w:b w:val="0"/>
          <w:i w:val="0"/>
          <w:sz w:val="22"/>
          <w:highlight w:val="yellow"/>
        </w:rPr>
        <w:t>This chapter presents the results, analysis, and discussion of the rhetorical appeals and directive subtypes identified in the call-to-action (CTA) phrases of Facebook skincare advertisement captions. The focus is on how those short commercial utterances encode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directive subtypes and rhetorical appeals contribute to the construction of persuasive meaning in the CTA phrases.</w:t>
      </w:r>
    </w:p>
    <w:p>
      <w:pPr>
        <w:spacing w:line="480" w:lineRule="auto" w:before="240" w:after="0"/>
        <w:ind w:firstLine="0"/>
        <w:jc w:val="left"/>
      </w:pPr>
      <w:r>
        <w:rPr>
          <w:rFonts w:ascii="Georgia" w:hAnsi="Georgia" w:eastAsia="Georgia"/>
          <w:b/>
          <w:i w:val="0"/>
          <w:sz w:val="24"/>
        </w:rPr>
        <w:t>Part I. Rhetorical Appeals Used in the CTA Phrases</w:t>
      </w:r>
    </w:p>
    <w:p>
      <w:pPr>
        <w:spacing w:line="480" w:lineRule="auto" w:before="0" w:after="0"/>
        <w:ind w:firstLine="720"/>
        <w:jc w:val="both"/>
      </w:pPr>
      <w:r>
        <w:rPr>
          <w:rFonts w:ascii="Georgia" w:hAnsi="Georgia" w:eastAsia="Georgia"/>
          <w:b w:val="0"/>
          <w:i w:val="0"/>
          <w:sz w:val="22"/>
          <w:highlight w:val="yellow"/>
        </w:rPr>
        <w:t>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w:t>
      </w:r>
    </w:p>
    <w:p>
      <w:pPr>
        <w:spacing w:line="480" w:lineRule="auto" w:before="240" w:after="0"/>
        <w:ind w:firstLine="0"/>
        <w:jc w:val="center"/>
      </w:pPr>
      <w:r>
        <w:rPr>
          <w:rFonts w:ascii="Georgia" w:hAnsi="Georgia" w:eastAsia="Georgia"/>
          <w:b/>
          <w:i w:val="0"/>
          <w:sz w:val="22"/>
        </w:rPr>
        <w:t>Table 1</w:t>
      </w:r>
    </w:p>
    <w:p>
      <w:pPr>
        <w:spacing w:line="480" w:lineRule="auto" w:before="0" w:after="120"/>
        <w:ind w:firstLine="0"/>
        <w:jc w:val="center"/>
      </w:pPr>
      <w:r>
        <w:rPr>
          <w:rFonts w:ascii="Georgia" w:hAnsi="Georgia" w:eastAsia="Georgia"/>
          <w:b w:val="0"/>
          <w:i/>
          <w:sz w:val="22"/>
        </w:rPr>
        <w:t>Frequency and Percentage Distribution of Rhetorical Appeals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Rhetorical Appeal</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32.35%</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highlight w:val="yellow"/>
        </w:rPr>
        <w:t>Table 1 shows that logos had the highest frequency, with 22 instances (64.71%), followed by pathos with 11 instances (32.35%). Ethos had the lowest frequency, with only one instance (2.94%). Each of the 34 CTA phrases was classified according to its dominant rhetorical appeal. In this sample, product-related information and stated benefits supply the main textual basis for persuasion more often than emotional or credibility-framed wording.</w:t>
      </w:r>
    </w:p>
    <w:p>
      <w:pPr>
        <w:spacing w:line="480" w:lineRule="auto" w:before="0" w:after="0"/>
        <w:ind w:firstLine="720"/>
        <w:jc w:val="both"/>
      </w:pPr>
      <w:r>
        <w:rPr>
          <w:rFonts w:ascii="Georgia" w:hAnsi="Georgia" w:eastAsia="Georgia"/>
          <w:b w:val="0"/>
          <w:i w:val="0"/>
          <w:sz w:val="22"/>
          <w:highlight w:val="yellow"/>
        </w:rPr>
        <w:t>These elements supported classification under logos because they offer reasons for considering the product. That reading is consistent with logos as persuasion through logical reasoning or argument (Rapp, 2022) and with analyses that locate logos in facts, specifications, and product data in social-media advertising language (Nasir et al., 2025).</w:t>
      </w:r>
    </w:p>
    <w:p>
      <w:pPr>
        <w:spacing w:line="480" w:lineRule="auto" w:before="0" w:after="0"/>
        <w:ind w:firstLine="720"/>
        <w:jc w:val="both"/>
      </w:pPr>
      <w:r>
        <w:rPr>
          <w:rFonts w:ascii="Georgia" w:hAnsi="Georgia" w:eastAsia="Georgia"/>
          <w:b w:val="0"/>
          <w:i w:val="0"/>
          <w:sz w:val="22"/>
          <w:highlight w:val="yellow"/>
        </w:rPr>
        <w:t>Such wording appeals to desire, care, and urgency. Beauty-advertising research often finds pathos realized through aspirational appearance and affective framing (Dwiyanti, 2024). Pathos here is carried by evaluative lexis (youthful, glow, radiance) and interpersonal frames (gift, love, miss out).</w:t>
      </w:r>
    </w:p>
    <w:p>
      <w:pPr>
        <w:spacing w:line="480" w:lineRule="auto" w:before="0" w:after="0"/>
        <w:ind w:firstLine="720"/>
        <w:jc w:val="both"/>
      </w:pPr>
      <w:r>
        <w:rPr>
          <w:rFonts w:ascii="Georgia" w:hAnsi="Georgia" w:eastAsia="Georgia"/>
          <w:b w:val="0"/>
          <w:i w:val="0"/>
          <w:sz w:val="22"/>
          <w:highlight w:val="yellow"/>
        </w:rPr>
        <w:t>Classification therefore rested on textual evidence of trustworthiness, not on brand identification alone. That distinction follows the definition of ethos as an appeal based on credibility (Rapp, 2022): naming the brand is not the same as establishing trust in the wording.</w:t>
      </w:r>
    </w:p>
    <w:p>
      <w:pPr>
        <w:spacing w:line="480" w:lineRule="auto" w:before="0" w:after="0"/>
        <w:ind w:firstLine="720"/>
        <w:jc w:val="both"/>
      </w:pPr>
      <w:r>
        <w:rPr>
          <w:rFonts w:ascii="Georgia" w:hAnsi="Georgia" w:eastAsia="Georgia"/>
          <w:b w:val="0"/>
          <w:i w:val="0"/>
          <w:sz w:val="22"/>
          <w:highlight w:val="yellow"/>
        </w:rPr>
        <w:t>The findings can be compared with Dwiyanti (2024), who examined persuasive techniques in makeup and skincare video advertisements and found pathos most frequent, with logos and ethos less common. The present study found logos dominant. The difference is better read as a difference in material and unit of analysis—short CTA-centered Facebook captions versus multimodal video advertisements—than as a claim that the platform itself caused the shift. Philippine Facebook advertising work has also shown ethos and pathos operating strongly in other product sectors (De Castro &amp; Martinez, 2025; Talaue, 2022), which further suggests that rhetorical distribution tracks discourse type and coding focus as much as product category.</w:t>
      </w:r>
    </w:p>
    <w:p>
      <w:pPr>
        <w:spacing w:line="480" w:lineRule="auto" w:before="0" w:after="0"/>
        <w:ind w:firstLine="720"/>
        <w:jc w:val="both"/>
      </w:pPr>
      <w:r>
        <w:rPr>
          <w:rFonts w:ascii="Georgia" w:hAnsi="Georgia" w:eastAsia="Georgia"/>
          <w:b w:val="0"/>
          <w:i w:val="0"/>
          <w:sz w:val="22"/>
          <w:highlight w:val="yellow"/>
        </w:rPr>
        <w:t>Overall, logos, pathos, and ethos were all present in the selected captions. Logos was the most frequent appeal, followed by pathos and ethos. The pattern is one of wording rather than market effect: in this corpus, skincare CTAs most often build persuasion on product information and stated benefits, with emotional and credibility resources used more selectively.</w:t>
      </w:r>
    </w:p>
    <w:p>
      <w:pPr>
        <w:spacing w:line="480" w:lineRule="auto" w:before="240" w:after="0"/>
        <w:ind w:firstLine="0"/>
        <w:jc w:val="center"/>
      </w:pPr>
      <w:r>
        <w:rPr>
          <w:rFonts w:ascii="Georgia" w:hAnsi="Georgia" w:eastAsia="Georgia"/>
          <w:b/>
          <w:i w:val="0"/>
          <w:sz w:val="22"/>
        </w:rPr>
        <w:t>Table 2</w:t>
      </w:r>
    </w:p>
    <w:p>
      <w:pPr>
        <w:spacing w:line="480" w:lineRule="auto" w:before="0" w:after="120"/>
        <w:ind w:firstLine="0"/>
        <w:jc w:val="center"/>
      </w:pPr>
      <w:r>
        <w:rPr>
          <w:rFonts w:ascii="Georgia" w:hAnsi="Georgia" w:eastAsia="Georgia"/>
          <w:b w:val="0"/>
          <w:i/>
          <w:sz w:val="22"/>
        </w:rPr>
        <w:t>Sample Analysis of Rhetorical Appeals</w:t>
      </w:r>
    </w:p>
    <w:p>
      <w:pPr>
        <w:spacing w:line="480" w:lineRule="auto" w:before="0" w:after="0"/>
        <w:jc w:val="both"/>
      </w:pPr>
      <w:r>
        <w:rPr>
          <w:rFonts w:ascii="Georgia" w:hAnsi="Georgia" w:eastAsia="Georgia"/>
          <w:b w:val="0"/>
          <w:i/>
          <w:sz w:val="22"/>
        </w:rPr>
        <w:t>[Table 2 retained from the working draft: sample rows for Olay, Luxe Organix, The Ordinary, Myra, and Pond’s with caption, appeal, and interpretation. Insert the full table from the Chapter 3 draft when formatting the final document.]</w:t>
      </w:r>
    </w:p>
    <w:p>
      <w:pPr>
        <w:spacing w:line="480" w:lineRule="auto" w:before="0" w:after="0"/>
        <w:ind w:firstLine="720"/>
        <w:jc w:val="both"/>
      </w:pPr>
      <w:r>
        <w:rPr>
          <w:rFonts w:ascii="Georgia" w:hAnsi="Georgia" w:eastAsia="Georgia"/>
          <w:b w:val="0"/>
          <w:i w:val="0"/>
          <w:sz w:val="22"/>
        </w:rPr>
        <w:t>The sample analysis in Table 2 illustrates how rhetorical appeals were identified from textual evidence in the captions. Logos appears through product information, stated benefits, and practical detail; pathos through emotional association and desirable outcomes. These examples show how different rhetorical resources of English construct persuasive meaning in the selected advertisements.</w:t>
      </w:r>
    </w:p>
    <w:p>
      <w:pPr>
        <w:spacing w:line="480" w:lineRule="auto" w:before="240" w:after="0"/>
        <w:ind w:firstLine="0"/>
        <w:jc w:val="left"/>
      </w:pPr>
      <w:r>
        <w:rPr>
          <w:rFonts w:ascii="Georgia" w:hAnsi="Georgia" w:eastAsia="Georgia"/>
          <w:b/>
          <w:i w:val="0"/>
          <w:sz w:val="24"/>
        </w:rPr>
        <w:t>Part II. Directive Subtypes Present in the CTA Phrases</w:t>
      </w:r>
    </w:p>
    <w:p>
      <w:pPr>
        <w:spacing w:line="480" w:lineRule="auto" w:before="0" w:after="0"/>
        <w:ind w:firstLine="720"/>
        <w:jc w:val="both"/>
      </w:pPr>
      <w:r>
        <w:rPr>
          <w:rFonts w:ascii="Georgia" w:hAnsi="Georgia" w:eastAsia="Georgia"/>
          <w:b w:val="0"/>
          <w:i w:val="0"/>
          <w:sz w:val="22"/>
          <w:highlight w:val="yellow"/>
        </w:rPr>
        <w:t>The coding identified two directive subtypes across the 34 CTA phrases: order and suggestion. Four subtypes were available in the framework—command, order, request, and suggestion—following Yule (1996) as operationalized by Anggraini and Afriana (2023). Directives, in Searle’s taxonomy, are illocutionary acts through which the speaker attempts to get the hearer to do something (Searle, 1975, 1976). Table 3 presents the distribution of directive subtypes across the five brands.</w:t>
      </w:r>
    </w:p>
    <w:p>
      <w:pPr>
        <w:spacing w:line="480" w:lineRule="auto" w:before="240" w:after="0"/>
        <w:ind w:firstLine="0"/>
        <w:jc w:val="center"/>
      </w:pPr>
      <w:r>
        <w:rPr>
          <w:rFonts w:ascii="Georgia" w:hAnsi="Georgia" w:eastAsia="Georgia"/>
          <w:b/>
          <w:i w:val="0"/>
          <w:sz w:val="22"/>
        </w:rPr>
        <w:t>Table 3</w:t>
      </w:r>
    </w:p>
    <w:p>
      <w:pPr>
        <w:spacing w:line="480" w:lineRule="auto" w:before="0" w:after="120"/>
        <w:ind w:firstLine="0"/>
        <w:jc w:val="center"/>
      </w:pPr>
      <w:r>
        <w:rPr>
          <w:rFonts w:ascii="Georgia" w:hAnsi="Georgia" w:eastAsia="Georgia"/>
          <w:b w:val="0"/>
          <w:i/>
          <w:sz w:val="22"/>
        </w:rPr>
        <w:t>Frequency and Percentage Distribution of Directive Subtypes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Directive Subtype</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Command</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Order</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Suggestion</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35.29%</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Request</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highlight w:val="yellow"/>
        </w:rPr>
        <w:t>Parallel work on beauty captions has likewise found directive language used to encourage purchase and engagement, often through commands, suggestions, invitations, and advice (e.g., analyses of NIVEA Instagram captions using Searle’s framework). The CTA is treated here as an utterance that performs a social action, not only as promotional copy.</w:t>
      </w:r>
    </w:p>
    <w:p>
      <w:pPr>
        <w:spacing w:line="480" w:lineRule="auto" w:before="0" w:after="0"/>
        <w:ind w:firstLine="720"/>
        <w:jc w:val="both"/>
      </w:pPr>
      <w:r>
        <w:rPr>
          <w:rFonts w:ascii="Georgia" w:hAnsi="Georgia" w:eastAsia="Georgia"/>
          <w:b w:val="0"/>
          <w:i w:val="0"/>
          <w:sz w:val="22"/>
          <w:highlight w:val="yellow"/>
        </w:rPr>
        <w:t>Orders directed consumers toward concrete commercial actions: checking out products, shopping, choosing from a range, adding items to a cart, exploring a website, applying a product, or obtaining an item online. Examples include Olay’s “Shop now at Watsons, S&amp;R, Robinsons Department Store, Landmark Department Store, Shopee and Lazada” and The Ordinary’s “Discover now via theordinary.com.” These were classified as orders because they directly instruct the audience to perform a specific action. Advertising research on imperatives notes that commercial directives often take short, verb-led English forms and that their force may function more like instruction or recommendation than institutional command (Pennock-Speck &amp; Fuster-Márquez, 2014).</w:t>
      </w:r>
    </w:p>
    <w:p>
      <w:pPr>
        <w:spacing w:line="480" w:lineRule="auto" w:before="0" w:after="0"/>
        <w:ind w:firstLine="720"/>
        <w:jc w:val="both"/>
      </w:pPr>
      <w:r>
        <w:rPr>
          <w:rFonts w:ascii="Georgia" w:hAnsi="Georgia" w:eastAsia="Georgia"/>
          <w:b w:val="0"/>
          <w:i w:val="0"/>
          <w:sz w:val="22"/>
          <w:highlight w:val="yellow"/>
        </w:rPr>
        <w:t>Under the operational definitions adopted from Anggraini and Afriana (2023), suggestion proposes a course of action while leaving the hearer room to accept or refuse it. Suggestion in this corpus often retains an imperative surface (Try, Give, Experience) but carries lower directive force than order.</w:t>
      </w:r>
    </w:p>
    <w:p>
      <w:pPr>
        <w:spacing w:line="480" w:lineRule="auto" w:before="0" w:after="0"/>
        <w:ind w:firstLine="720"/>
        <w:jc w:val="both"/>
      </w:pPr>
      <w:r>
        <w:rPr>
          <w:rFonts w:ascii="Georgia" w:hAnsi="Georgia" w:eastAsia="Georgia"/>
          <w:b w:val="0"/>
          <w:i w:val="0"/>
          <w:sz w:val="22"/>
          <w:highlight w:val="yellow"/>
        </w:rPr>
        <w:t>No instances of command or request met the operational criteria. Command, in the adopted framework, implies a stronger authority asymmetry; request implies a more polite ask. Commercial Facebook CTAs in this sample clustered instead on order and suggestion. That pattern is consistent with advertising English that prefers clear action prompts without the interpersonal softening typical of polite requests or the institutional force of true commands (Pennock-Speck &amp; Fuster-Márquez, 2014).</w:t>
      </w:r>
    </w:p>
    <w:p>
      <w:pPr>
        <w:spacing w:line="480" w:lineRule="auto" w:before="0" w:after="0"/>
        <w:ind w:firstLine="720"/>
        <w:jc w:val="both"/>
      </w:pPr>
      <w:r>
        <w:rPr>
          <w:rFonts w:ascii="Georgia" w:hAnsi="Georgia" w:eastAsia="Georgia"/>
          <w:b w:val="0"/>
          <w:i w:val="0"/>
          <w:sz w:val="22"/>
          <w:highlight w:val="yellow"/>
        </w:rPr>
        <w:t>Overall, order dominated and suggestion was secondary. The selected advertisements mainly use direct instruction and, less often, recommended consideration. Command and request were available in the scheme but did not appear in the data.</w:t>
      </w:r>
    </w:p>
    <w:p>
      <w:pPr>
        <w:spacing w:line="480" w:lineRule="auto" w:before="240" w:after="0"/>
        <w:ind w:firstLine="0"/>
        <w:jc w:val="center"/>
      </w:pPr>
      <w:r>
        <w:rPr>
          <w:rFonts w:ascii="Georgia" w:hAnsi="Georgia" w:eastAsia="Georgia"/>
          <w:b/>
          <w:i w:val="0"/>
          <w:sz w:val="22"/>
        </w:rPr>
        <w:t>Table 4</w:t>
      </w:r>
    </w:p>
    <w:p>
      <w:pPr>
        <w:spacing w:line="480" w:lineRule="auto" w:before="0" w:after="120"/>
        <w:ind w:firstLine="0"/>
        <w:jc w:val="center"/>
      </w:pPr>
      <w:r>
        <w:rPr>
          <w:rFonts w:ascii="Georgia" w:hAnsi="Georgia" w:eastAsia="Georgia"/>
          <w:b w:val="0"/>
          <w:i/>
          <w:sz w:val="22"/>
        </w:rPr>
        <w:t>Sample Analysis of Directive Subtypes</w:t>
      </w:r>
    </w:p>
    <w:p>
      <w:pPr>
        <w:spacing w:line="480" w:lineRule="auto" w:before="0" w:after="0"/>
        <w:jc w:val="both"/>
      </w:pPr>
      <w:r>
        <w:rPr>
          <w:rFonts w:ascii="Georgia" w:hAnsi="Georgia" w:eastAsia="Georgia"/>
          <w:b w:val="0"/>
          <w:i/>
          <w:sz w:val="22"/>
        </w:rPr>
        <w:t>[Table 4 retained from the working draft: sample rows for Olay, Luxe Organix, The Ordinary, Myra, and Pond’s. Insert the full table when formatting the final document.]</w:t>
      </w:r>
    </w:p>
    <w:p>
      <w:pPr>
        <w:spacing w:line="480" w:lineRule="auto" w:before="0" w:after="0"/>
        <w:ind w:firstLine="720"/>
        <w:jc w:val="both"/>
      </w:pPr>
      <w:r>
        <w:rPr>
          <w:rFonts w:ascii="Georgia" w:hAnsi="Georgia" w:eastAsia="Georgia"/>
          <w:b w:val="0"/>
          <w:i w:val="0"/>
          <w:sz w:val="22"/>
        </w:rPr>
        <w:t>Table 4 illustrates how directive subtypes were identified from the wording and communicative function of the CTA phrases. Orders instruct; suggestions invite consideration. Both are English directives in Searle’s sense, distinguished by force under Yule’s subtypes.</w:t>
      </w:r>
    </w:p>
    <w:p>
      <w:pPr>
        <w:spacing w:line="480" w:lineRule="auto" w:before="240" w:after="0"/>
        <w:ind w:firstLine="0"/>
        <w:jc w:val="left"/>
      </w:pPr>
      <w:r>
        <w:rPr>
          <w:rFonts w:ascii="Georgia" w:hAnsi="Georgia" w:eastAsia="Georgia"/>
          <w:b/>
          <w:i w:val="0"/>
          <w:sz w:val="24"/>
        </w:rPr>
        <w:t>Part III. Constructing Persuasive Meaning</w:t>
      </w:r>
    </w:p>
    <w:p>
      <w:pPr>
        <w:spacing w:line="480" w:lineRule="auto" w:before="0" w:after="0"/>
        <w:ind w:firstLine="720"/>
        <w:jc w:val="both"/>
      </w:pPr>
      <w:r>
        <w:rPr>
          <w:rFonts w:ascii="Georgia" w:hAnsi="Georgia" w:eastAsia="Georgia"/>
          <w:b w:val="0"/>
          <w:i w:val="0"/>
          <w:sz w:val="22"/>
          <w:highlight w:val="yellow"/>
        </w:rPr>
        <w:t>Part III examines how rhetorical appeals and directive subtypes combine in the 34 CTA phrases. Persuasive meaning is treated as jointly constructed: the appeal supplies a reason, emotion, or credibility frame, while the directive subtype supplies the illocutionary force that seeks audience action. Table 5 presents the frequency and percentage distribution of these combinations.</w:t>
      </w:r>
    </w:p>
    <w:p>
      <w:pPr>
        <w:spacing w:line="480" w:lineRule="auto" w:before="240" w:after="0"/>
        <w:ind w:firstLine="0"/>
        <w:jc w:val="center"/>
      </w:pPr>
      <w:r>
        <w:rPr>
          <w:rFonts w:ascii="Georgia" w:hAnsi="Georgia" w:eastAsia="Georgia"/>
          <w:b/>
          <w:i w:val="0"/>
          <w:sz w:val="22"/>
        </w:rPr>
        <w:t>Table 5</w:t>
      </w:r>
    </w:p>
    <w:p>
      <w:pPr>
        <w:spacing w:line="480" w:lineRule="auto" w:before="0" w:after="120"/>
        <w:ind w:firstLine="0"/>
        <w:jc w:val="center"/>
      </w:pPr>
      <w:r>
        <w:rPr>
          <w:rFonts w:ascii="Georgia" w:hAnsi="Georgia" w:eastAsia="Georgia"/>
          <w:b w:val="0"/>
          <w:i/>
          <w:sz w:val="22"/>
        </w:rPr>
        <w:t>Frequency and Percentage Distribution of Rhetorical Appeal and Directive Subtype Combinations</w:t>
      </w:r>
    </w:p>
    <w:tbl>
      <w:tblPr>
        <w:tblStyle w:val="TableGrid"/>
        <w:tblW w:type="auto" w:w="0"/>
        <w:jc w:val="center"/>
        <w:tblLook w:firstColumn="1" w:firstRow="1" w:lastColumn="0" w:lastRow="0" w:noHBand="0" w:noVBand="1" w:val="04A0"/>
      </w:tblPr>
      <w:tblGrid>
        <w:gridCol w:w="2880"/>
        <w:gridCol w:w="2880"/>
        <w:gridCol w:w="2880"/>
      </w:tblGrid>
      <w:tr>
        <w:tc>
          <w:tcPr>
            <w:tcW w:type="dxa" w:w="460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Rhetorical Appeal + Directive Subtype</w:t>
            </w:r>
          </w:p>
        </w:tc>
        <w:tc>
          <w:tcPr>
            <w:tcW w:type="dxa" w:w="1872"/>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1872"/>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44.12%</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17.65%</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7</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20.59%</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14.71%</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highlight w:val="yellow"/>
        </w:rPr>
        <w:t>Logos + Order was the most frequent combination (15; 44.12%), followed by Logos + Suggestion (7; 20.59%), Pathos + Order (6; 17.65%), Pathos + Suggestion (5; 14.71%), and Ethos + Order (1; 2.94%). Studies that integrate rhetorical appeals with speech-act analysis in cosmetics and social-media advertising similarly treat persuasion as multi-layered: ads both argue and direct (Saad &amp; Ismael, 2025; related work on social-media cosmetics advertising). The present distribution specifies how that layering appears in English CTA phrases for five skincare brands on Facebook.</w:t>
      </w:r>
    </w:p>
    <w:p>
      <w:pPr>
        <w:spacing w:line="480" w:lineRule="auto" w:before="0" w:after="0"/>
        <w:ind w:firstLine="720"/>
        <w:jc w:val="both"/>
      </w:pPr>
      <w:r>
        <w:rPr>
          <w:rFonts w:ascii="Georgia" w:hAnsi="Georgia" w:eastAsia="Georgia"/>
          <w:b w:val="0"/>
          <w:i w:val="0"/>
          <w:sz w:val="22"/>
          <w:highlight w:val="yellow"/>
        </w:rPr>
        <w:t>This combination typically offers a product reason (ingredient, benefit, SPF, price) and simultaneously performs an order (Shop now, Apply, Discover). Logos supplies the informational basis; order directs the intended action. Logos + Suggestion, found in The Ordinary, Myra, and Pond’s, keeps the informational basis but softens the directive to an action the consumer may consider. Pathos + Order links desirable outcomes or affective frames with direct instruction, while Pathos + Suggestion links those frames with invited consideration. Ethos + Order appeared once in Myra, where explicit trust language accompanied a direct instruction. In each case, persuasive meaning is not appeal alone or directive alone; it is the packaging of both in one CTA unit.</w:t>
      </w:r>
    </w:p>
    <w:p>
      <w:pPr>
        <w:spacing w:line="480" w:lineRule="auto" w:before="0" w:after="0"/>
        <w:ind w:firstLine="720"/>
        <w:jc w:val="both"/>
      </w:pPr>
      <w:r>
        <w:rPr>
          <w:rFonts w:ascii="Georgia" w:hAnsi="Georgia" w:eastAsia="Georgia"/>
          <w:b w:val="0"/>
          <w:i w:val="0"/>
          <w:sz w:val="22"/>
          <w:highlight w:val="yellow"/>
        </w:rPr>
        <w:t>Brand-level patterns refine the picture without changing the overall claim. Olay combined pathos or logos with order only. The Ordinary stayed within logos, paired with order or suggestion. Myra showed the widest mix, including the sole ethos case and a higher share of suggestion. Pond’s and Luxe Organix mixed logos- and pathos-based combinations. These are patterns of caption wording, not measures of campaign success.</w:t>
      </w:r>
    </w:p>
    <w:p>
      <w:pPr>
        <w:spacing w:line="480" w:lineRule="auto" w:before="0" w:after="0"/>
        <w:ind w:firstLine="720"/>
        <w:jc w:val="both"/>
      </w:pPr>
      <w:r>
        <w:rPr>
          <w:rFonts w:ascii="Georgia" w:hAnsi="Georgia" w:eastAsia="Georgia"/>
          <w:b w:val="0"/>
          <w:i w:val="0"/>
          <w:sz w:val="22"/>
          <w:highlight w:val="yellow"/>
        </w:rPr>
        <w:t>Overall, persuasive meaning in the selected Facebook skincare advertisements was constructed through the combination of rhetorical appeals and directive subtypes. Logos presented product-related information, pathos appealed to feelings and desired appearance, and ethos conveyed credibility when the wording supported it. Orders directed specific actions; suggestions invited consideration. The analysis does not establish whether consumers purchased or used the products.</w:t>
      </w:r>
    </w:p>
    <w:p>
      <w:pPr>
        <w:spacing w:line="480" w:lineRule="auto" w:before="240" w:after="120"/>
        <w:ind w:firstLine="0"/>
        <w:jc w:val="center"/>
      </w:pPr>
      <w:r>
        <w:rPr>
          <w:rFonts w:ascii="Georgia" w:hAnsi="Georgia" w:eastAsia="Georgia"/>
          <w:b/>
          <w:i w:val="0"/>
          <w:sz w:val="24"/>
        </w:rPr>
        <w:t>References</w:t>
      </w:r>
    </w:p>
    <w:p>
      <w:pPr>
        <w:spacing w:line="480" w:lineRule="auto" w:before="0" w:after="0"/>
        <w:ind w:left="720" w:hanging="720"/>
        <w:jc w:val="left"/>
      </w:pPr>
      <w:r>
        <w:rPr>
          <w:rFonts w:ascii="Georgia" w:hAnsi="Georgia" w:eastAsia="Georgia"/>
          <w:b w:val="0"/>
          <w:i w:val="0"/>
          <w:sz w:val="22"/>
        </w:rPr>
        <w:t>Anggraini, &amp; Afriana. (2023). [Operational definitions of directive subtypes command, order, request, and suggestion, as applied in the thesis framework from Yule (1996)].</w:t>
      </w:r>
    </w:p>
    <w:p>
      <w:pPr>
        <w:spacing w:line="480" w:lineRule="auto" w:before="0" w:after="0"/>
        <w:ind w:left="720" w:hanging="720"/>
        <w:jc w:val="left"/>
      </w:pPr>
      <w:r>
        <w:rPr>
          <w:rFonts w:ascii="Georgia" w:hAnsi="Georgia" w:eastAsia="Georgia"/>
          <w:b w:val="0"/>
          <w:i w:val="0"/>
          <w:sz w:val="22"/>
        </w:rPr>
        <w:t>De Castro, G. L., &amp; Martinez, S. P. (2025). Rhetorical appeals across selected Philippine bank advertising on Facebook. Southern Semiotic Review, (22). https://doi.org/10.33234/SSR.22.13</w:t>
      </w:r>
    </w:p>
    <w:p>
      <w:pPr>
        <w:spacing w:line="480" w:lineRule="auto" w:before="0" w:after="0"/>
        <w:ind w:left="720" w:hanging="720"/>
        <w:jc w:val="left"/>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line="480" w:lineRule="auto" w:before="0" w:after="0"/>
        <w:ind w:left="720" w:hanging="720"/>
        <w:jc w:val="left"/>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line="480" w:lineRule="auto" w:before="0" w:after="0"/>
        <w:ind w:left="720" w:hanging="720"/>
        <w:jc w:val="left"/>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line="480" w:lineRule="auto" w:before="0" w:after="0"/>
        <w:ind w:left="720" w:hanging="720"/>
        <w:jc w:val="left"/>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line="480" w:lineRule="auto" w:before="0" w:after="0"/>
        <w:ind w:left="720" w:hanging="720"/>
        <w:jc w:val="left"/>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14. https://doi.org/10.56924/tasnim.14.2025/23</w:t>
      </w:r>
    </w:p>
    <w:p>
      <w:pPr>
        <w:spacing w:line="480" w:lineRule="auto" w:before="0" w:after="0"/>
        <w:ind w:left="720" w:hanging="720"/>
        <w:jc w:val="left"/>
      </w:pPr>
      <w:r>
        <w:rPr>
          <w:rFonts w:ascii="Georgia" w:hAnsi="Georgia" w:eastAsia="Georgia"/>
          <w:b w:val="0"/>
          <w:i w:val="0"/>
          <w:sz w:val="22"/>
        </w:rPr>
        <w:t>Searle, J. R. (1975). Indirect speech acts. In P. Cole &amp; J. L. Morgan (Eds.), Syntax and semantics: Vol. 3. Speech acts (pp. 59–82). Academic Press.</w:t>
      </w:r>
    </w:p>
    <w:p>
      <w:pPr>
        <w:spacing w:line="480" w:lineRule="auto" w:before="0" w:after="0"/>
        <w:ind w:left="720" w:hanging="720"/>
        <w:jc w:val="left"/>
      </w:pPr>
      <w:r>
        <w:rPr>
          <w:rFonts w:ascii="Georgia" w:hAnsi="Georgia" w:eastAsia="Georgia"/>
          <w:b w:val="0"/>
          <w:i w:val="0"/>
          <w:sz w:val="22"/>
        </w:rPr>
        <w:t>Searle, J. R. (1976). A classification of illocutionary acts. Language in Society, 5(1), 1–23. https://doi.org/10.1017/S0047404500006837</w:t>
      </w:r>
    </w:p>
    <w:p>
      <w:pPr>
        <w:spacing w:line="480" w:lineRule="auto" w:before="0" w:after="0"/>
        <w:ind w:left="720" w:hanging="720"/>
        <w:jc w:val="left"/>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line="480" w:lineRule="auto" w:before="0" w:after="0"/>
        <w:ind w:left="720" w:hanging="720"/>
        <w:jc w:val="left"/>
      </w:pPr>
      <w:r>
        <w:rPr>
          <w:rFonts w:ascii="Georgia" w:hAnsi="Georgia" w:eastAsia="Georgia"/>
          <w:b w:val="0"/>
          <w:i w:val="0"/>
          <w:sz w:val="22"/>
        </w:rPr>
        <w:t>Yule, G. (1996). Pragmatics. Oxford University Press.</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