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Certainty, it seems, is the one thing academic writers are certain they should avoid. Writing guides are full of confident advice about sounding uncertain. “Qualify your claims,” they insist, as if hedging were a single, transferable skill. Yet, while the instruction to be cautious is universal, the actual application of this skill varies significantly across different fields of study. Is the language of uncertainty truly uniform, or does it shift depending on the nature of the evidence being presented?</w:t>
      </w:r>
    </w:p>
    <w:p>
      <w:pPr>
        <w:spacing w:line="480" w:lineRule="auto" w:before="0" w:after="0"/>
        <w:ind w:firstLine="720"/>
        <w:jc w:val="both"/>
      </w:pPr>
      <w:r>
        <w:rPr>
          <w:rFonts w:ascii="Georgia" w:hAnsi="Georgia" w:eastAsia="Georgia"/>
          <w:b w:val="0"/>
          <w:i w:val="0"/>
          <w:sz w:val="22"/>
        </w:rPr>
        <w:t>Expert writers hedge to present claims with caution rather than absolute certainty. That finding is well established. Hyland (1998) showed that hedging is a core rhetorical resource, not just a matter of style. Writers use devices such as may, suggest, or generally to signal epistemic stance and to participate in their disciplinary communities. A gap remains. Expert norms are well documented, but less is known about how undergraduate thesis writers handle these conventions. They face the same genre expectations without the disciplinary training of experts. Do the abstracts they produce reflect the specific norms of the fields they are written in, or do they merely exhibit a generic style of caution?</w:t>
      </w:r>
    </w:p>
    <w:p>
      <w:pPr>
        <w:spacing w:line="480" w:lineRule="auto" w:before="0" w:after="0"/>
        <w:ind w:firstLine="720"/>
        <w:jc w:val="both"/>
      </w:pPr>
      <w:r>
        <w:rPr>
          <w:rFonts w:ascii="Georgia" w:hAnsi="Georgia" w:eastAsia="Georgia"/>
          <w:b w:val="0"/>
          <w:i w:val="0"/>
          <w:sz w:val="22"/>
        </w:rPr>
        <w:t>The importance of hedging is especially clear in the applied life sciences. Research in Agriculture, Veterinary Medicine, and Biology often has direct effects on the community and the environment. When developing researchers state findings categorically instead of hedging, they risk treating provisional results as settled. Overstated claims can lead to misuse of data or unproven practices. Teaching developing researchers to manage epistemic stance is therefore not only a writing skill but a practical responsibility in these fields.</w:t>
      </w:r>
    </w:p>
    <w:p>
      <w:pPr>
        <w:spacing w:line="480" w:lineRule="auto" w:before="0" w:after="0"/>
        <w:ind w:firstLine="720"/>
        <w:jc w:val="both"/>
      </w:pPr>
      <w:r>
        <w:rPr>
          <w:rFonts w:ascii="Georgia" w:hAnsi="Georgia" w:eastAsia="Georgia"/>
          <w:b w:val="0"/>
          <w:i w:val="0"/>
          <w:sz w:val="22"/>
        </w:rPr>
        <w:t>This study investigates that question at Pampanga State Agricultural University (PSAU), focusing on thesis abstracts from three disciplines: Agriculture, Veterinary Medicine, and Biology. These three fields were chosen because they represent the core applied life sciences programs at PSAU, yet they are typically associated with distinct orientations toward evidence. Agricultural research often involves field-based studies subject to environmental variability that is largely outside the researcher’s control. Biological studies are frequently conducted under controlled laboratory conditions. Veterinary medicine, by contrast, manages clinical variables dependent on individual patient outcomes. While these boundaries are not absolute, as agricultural research can be lab-based and biology can be field-based, these differing epistemic orientations may foster distinct hedging conventions. If these texts reflect any disciplinary writing norms, these differences should be evident in their hedging patterns. If they do not, all three groups should produce similar patterns, a finding that is equally informative for writing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consistently find that developing researchers underuse hedging and rely on a narrow range of devices. In an analysis of 60 research abstracts by Thai undergraduate English majors, Khunasathitchai et al. (2025) found an average of only 1.5 hedges per abstract. They observed that modal verbs dominated across all types of claims. Suratno and Aydawati (2025) reported similar patterns in the discussion sections of Indonesian undergraduate theses. They noted that developing researchers relied on one or two modal words regardless of argument type. The authors attribute this limitation to a lack of explicit instruction rather than a lack of grammatical ability. Working on a larger scale, Wang (2022) examined 829 papers by developing researchers across 16 fields in the Michigan Corpus of Upper-Level Student Papers. This study confirmed that disciplinary variation in hedging is detectable even in developing researchers' writing. For instance, researchers in Philosophy and Psychology hedged more than those in Physics and History. However, modal verbs remained the dominant form across all disciplines.</w:t>
      </w:r>
    </w:p>
    <w:p>
      <w:pPr>
        <w:spacing w:line="480" w:lineRule="auto" w:before="0" w:after="0"/>
        <w:ind w:firstLine="720"/>
        <w:jc w:val="both"/>
      </w:pPr>
      <w:r>
        <w:rPr>
          <w:rFonts w:ascii="Georgia" w:hAnsi="Georgia" w:eastAsia="Georgia"/>
          <w:b w:val="0"/>
          <w:i w:val="0"/>
          <w:sz w:val="22"/>
        </w:rPr>
        <w:t>These studies have limits for the present work. Khunasathitchai et al. (2025) did examine abstracts specifically, which makes their genre-level findings the most directly comparable to this study, but their context is Thai, not Philippines. Suratno and Aydawati (2025) analyzed discussion sections rather than abstracts, while Wang (2022) examined complete papers by developing researchers. Hedging patterns documented in full-length sections may not reflect how developing researchers hedge in the constrained abstract space. In that space, rhetorical compression forces different choices. None of the three studies is set in a Philippine L2 context. This study addresses both the genre gap (abstracts rather than full sections) and the Philippine L2 context missing from all three.</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Expert-writing studies confirm that field norms shape hedging, though the pattern is more complex than a simple hard or soft science divide. Afshar et al. (2014) analyzed 60 research articles across humanities, basic sciences, and agriculture. They found that humanities disciplines used hedges most frequently, followed by basic sciences, with agriculture using the fewest. Mohammed (2011), however, found the reverse when comparing biochemistry and applied linguistics directly. Biochemistry articles contained more hedging forms than applied linguistics articles, with scientists hedging more than linguists overall. Hamidi et al. (2025) found that clinical science papers used slightly more hedges than basic science papers within the medical domain, though without statistical significance.</w:t>
      </w:r>
    </w:p>
    <w:p>
      <w:pPr>
        <w:spacing w:line="480" w:lineRule="auto" w:before="0" w:after="0"/>
        <w:ind w:firstLine="720"/>
        <w:jc w:val="both"/>
      </w:pPr>
      <w:r>
        <w:rPr>
          <w:rFonts w:ascii="Georgia" w:hAnsi="Georgia" w:eastAsia="Georgia"/>
          <w:b w:val="0"/>
          <w:i w:val="0"/>
          <w:sz w:val="22"/>
        </w:rPr>
        <w:t>These findings are not necessarily contradictory. Afshar et al. and Mohammed compare different disciplinary pairings and use different hedge taxonomies. The variation in their results reflects the fact that hedging density depends on the specific epistemic demands of a field rather than on a single dimension of hard versus soft science. These demands relate to what a writer must be responsible for. This is precisely the point Salager-Meyer (1994) makes in theorizing hedging as claim-responsibility management. The implication for the present study is that Agriculture, Veterinary Medicine, and Biology may produce distinct hedging patterns. This may happen not because one field is harder than another, but because each field requires writers to manage different kinds of epistemic responsibility. Whether undergraduate abstracts reflect any of these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The Philippine educational context adds a further layer of relevance. English is the medium of academic writing instruction at PSAU. Demir (2018) found that non-native English writers used significantly fewer hedges and less variety than native writers. Mohammed (2011) identified a cultural dimension to this. American authors used 14 to 15 percent more hedging forms than Arabic authors writing in the same disciplines. This suggests that L2 academic writers may also be operating under different rhetorical conventions from their L1 contexts. Petchkij (2019) demonstrated that explicit instruction can change this. Thai health science developing researchers increased both hedge frequency and variety after targeted instruction. However, modal verb preference persisted even after training. This indicates that some aspects of hedging require deeper disciplinary exposure to change.</w:t>
      </w:r>
    </w:p>
    <w:p>
      <w:pPr>
        <w:spacing w:line="480" w:lineRule="auto" w:before="0" w:after="0"/>
        <w:ind w:firstLine="720"/>
        <w:jc w:val="both"/>
      </w:pPr>
      <w:r>
        <w:rPr>
          <w:rFonts w:ascii="Georgia" w:hAnsi="Georgia" w:eastAsia="Georgia"/>
          <w:b w:val="0"/>
          <w:i w:val="0"/>
          <w:sz w:val="22"/>
        </w:rPr>
        <w:t>These studies collectively suggest that L2 writers underuse hedging for reasons that are partly linguistic and partly instructional. The gap does not close through language exposure alone. Philippine developing researchers navigate a unique linguistic landscape where English is the medium of instruction but not the home language. This makes hedging particularly demanding to acquire. It requires both pragmatic fluency and disciplinary exposure that most have not yet had. Philippine developing researchers at PSAU face all of these conditions. These include L2 English status, limited explicit hedging instruction, and disciplinary writing curricula that focus more on structure and grammar than on epistemic stance. Because L2 proficiency is not measured in this design, this study cannot isolate the influence of linguistic constraints from disciplinary conventions. Any observed hedging patterns may reflect the limitations of L2 proficiency, disciplinary socialization, or an inseparable combination of both. Therefore, this study does not claim to identify the underlying causes of these patterns; rather, it establishes a descriptive baseline of the textual artifacts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presents a distinctive context for hedging research. Even though English is the official medium of instruction in tertiary education, most Filipino developing researchers acquire it as a second or additional language. Their English is shaped by exposure to Filipino, regional languages, and code-switching practices. These practices differ from the hedging conventions of standard academic English. Studies examining hedging in Philippine developing researchers' writing reveal patterns that are consistent with the broader L2 literature while also reflecting locally specific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including the Philippines, exhibit a preference for boosters over hedges. Rahayu and Suhartono (2024) noted that learners overused boosters such as completely, really, and always, while they also showed patterns in hedges such as usually, often, and maybe. This suggests a regional tendency toward assertiveness rather than caution in developing researchers' writing. Locally, Escalona (2025) examined hedges and boosters in the essays of AB-English and BS-Information Technology developing researchers at Bukidnon State University. The study found that developing researchers’ use of these devices varied by discipline. IT developing researchers showed greater reliance on hedges to convey caution given the technical and rapidly evolving nature of their field. English language developing researchers showed greater preference for boosters in asserting arguments. Escalona (2025) concludes that integrating rhetorical strategies such as hedges and boosters into classroom instruction is vital for developing academic language skills among Philippine university developing researchers.</w:t>
      </w:r>
    </w:p>
    <w:p>
      <w:pPr>
        <w:spacing w:line="480" w:lineRule="auto" w:before="0" w:after="0"/>
        <w:ind w:firstLine="720"/>
        <w:jc w:val="both"/>
      </w:pPr>
      <w:r>
        <w:rPr>
          <w:rFonts w:ascii="Georgia" w:hAnsi="Georgia" w:eastAsia="Georgia"/>
          <w:b w:val="0"/>
          <w:i w:val="0"/>
          <w:sz w:val="22"/>
        </w:rPr>
        <w:t>Further emphasizing the proficiency gap, Lopez et al. (2025) analyzed 50 argumentative essays by English Language Studies majors at a state university in northern Philippines. The study found that the general proficiency level of participants was at the developing stage, with epistemic modal verbs occurring most frequently across all proficiency levels. Hedging has also been examined in Philippine public discourse. Villanueva (2014) analyzed editorials from the Philippine Daily Inquirer, Manila Bulletin, and Philippine Star. The study found that hedging devices were employed to manage the accountability of editorial claims, particularly in politically sensitive content. While this study addresses journalistic rather than academic discourse, it reinforces the point that hedging is a context-sensitive rhetorical practice whose forms and functions shift depending on the communicative situation.</w:t>
      </w:r>
    </w:p>
    <w:p>
      <w:pPr>
        <w:spacing w:line="480" w:lineRule="auto" w:before="0" w:after="0"/>
        <w:ind w:firstLine="720"/>
        <w:jc w:val="both"/>
      </w:pPr>
      <w:r>
        <w:rPr>
          <w:rFonts w:ascii="Georgia" w:hAnsi="Georgia" w:eastAsia="Georgia"/>
          <w:b w:val="0"/>
          <w:i w:val="0"/>
          <w:sz w:val="22"/>
        </w:rPr>
        <w:t>Taken together, these studies suggest that Philippine writers at various levels rely predominantly on modal verbs and show limited hedge variety. This is the pattern the present study expects to observe in the PSAU corpus. What remains unknown is whether the disciplinary context in which developing researchers write produces any differentiation within this general tendency or whether the constraints of L2 proficiency and limited explicit instruction flatten these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itself has distinct linguistic characteristics that justify studying it separately from full papers. Imataki and Kobayashi (2024) analyzed 5,000 expert abstracts from five scientific fields. They found measurable disciplinary differences in voice, nominalization, and lexical choice. These patterns are specific to how experts compress and present their research in a constrained space. Hyland (1998) established the central role of hedging in expert scientific writing. In contrast, studies of developing researchers' writing show that they produce fewer hedges and rely on a narrower range of devices than experts. This pattern was observed by Hyland and Milton (1997), Khunasathitchai et al. (2025), and Wang (2022). Whether developing researchers show any disciplinary differentiation in the abstract genre remains an open empirical question. It is also unknown whether all three groups converge on the same generic, modal-dominated hedging regardless of field.</w:t>
      </w:r>
    </w:p>
    <w:p>
      <w:pPr>
        <w:spacing w:line="480" w:lineRule="auto" w:before="0" w:after="0"/>
        <w:ind w:firstLine="720"/>
        <w:jc w:val="both"/>
      </w:pPr>
      <w:r>
        <w:rPr>
          <w:rFonts w:ascii="Georgia" w:hAnsi="Georgia" w:eastAsia="Georgia"/>
          <w:b w:val="0"/>
          <w:i w:val="0"/>
          <w:sz w:val="22"/>
        </w:rPr>
        <w:t>The present study grows directly from the central question raised at the beginning of this proposal. Certainty is the one thing academic writers are certain they should avoid. Writing guides repeatedly advise developing researchers to qualify their claims, yet they rarely acknowledge that the language of uncertainty is not a single transferable skill. Instead, hedging practices vary significantly depending on the nature of the evidence and the epistemic demands of each discipline.</w:t>
      </w:r>
    </w:p>
    <w:p>
      <w:pPr>
        <w:spacing w:line="480" w:lineRule="auto" w:before="0" w:after="0"/>
        <w:ind w:firstLine="720"/>
        <w:jc w:val="both"/>
      </w:pPr>
      <w:r>
        <w:rPr>
          <w:rFonts w:ascii="Georgia" w:hAnsi="Georgia" w:eastAsia="Georgia"/>
          <w:b w:val="0"/>
          <w:i w:val="0"/>
          <w:sz w:val="22"/>
        </w:rPr>
        <w:t>Across the bodies of literature reviewed, a consistent picture emerges. Expert writers in scientific and medical fields demonstrate measurable disciplinary differentiation in hedging. They do not hedge more or less simply because one field is harder than another. Rather, different fields create distinct epistemic demands that shape how writers manage claim responsibility (Salager-Meyer, 1994). In contrast, developing researchers across multiple contexts show limited hedge variety. They tend to default to modal verbs and underuse more context-specific devices, regardless of discipline (Khunasathitchai et al., 2025; Wang, 2022). L2 and EFL developing researchers face an additional layer of constraint. Linguistic factors and limited explicit instruction often suppress the richer hedging repertoire that disciplinary socialization might otherwise produce (Demir, 2018; Petchkij, 2019). Philippine developing researchers navigate a particularly challenging landscape. English serves as the medium of instruction, but it is rarely reinforced by everyday language use. Regional studies, including ASEAN-wide analyses and local Philippine investigations, confirm a general reliance on modal verbs and a tendency toward boosters in some contexts (Rahayu &amp; Suhartono, 2024; Escalona, 2025; Lopez et al., 2025).</w:t>
      </w:r>
    </w:p>
    <w:p>
      <w:pPr>
        <w:spacing w:line="480" w:lineRule="auto" w:before="0" w:after="0"/>
        <w:ind w:firstLine="720"/>
        <w:jc w:val="both"/>
      </w:pPr>
      <w:r>
        <w:rPr>
          <w:rFonts w:ascii="Georgia" w:hAnsi="Georgia" w:eastAsia="Georgia"/>
          <w:b w:val="0"/>
          <w:i w:val="0"/>
          <w:sz w:val="22"/>
        </w:rPr>
        <w:t>The same gap appears consistently across all these bodies of literature. No published study identified in this review has examined hedging in undergraduate thesis abstracts from applied science disciplines in a Philippine L2 context. Studies of developing researchers' hedging have rarely targeted the abstract genre, where rhetorical compression forces distinct choices. Studies of the abstract genre itself have focused almost exclusively on expert writers. Research on L2 hedging has drawn primarily from Thai, Indonesian, and Western settings. Even studies of Philippine academic writing have not focused on thesis abstracts in applied life sciences such as Agriculture, Veterinary Medicine, and Biology.</w:t>
      </w:r>
    </w:p>
    <w:p>
      <w:pPr>
        <w:spacing w:line="480" w:lineRule="auto" w:before="0" w:after="0"/>
        <w:ind w:firstLine="720"/>
        <w:jc w:val="both"/>
      </w:pPr>
      <w:r>
        <w:rPr>
          <w:rFonts w:ascii="Georgia" w:hAnsi="Georgia" w:eastAsia="Georgia"/>
          <w:b w:val="0"/>
          <w:i w:val="0"/>
          <w:sz w:val="22"/>
        </w:rPr>
        <w:t>This study addresses that specific intersection at Pampanga State Agricultural University. By investigating hedging patterns across three applied life sciences disciplines that share an institutional context but differ in their relationship to evidence, the study establishes a much-needed baseline. The findings move writing instruction at PSAU beyond generic advice to be cautious and toward evidence-based, discipline-sensitive guidance for developing researchers.</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a discipline-specific management of uncertainty. However, current understanding of how Philippine developing researchers navigate these conventions remains limited. While previous studies have established that expert hedging varies significantly across fields such as Agriculture and Biology, there is a lack of empirical data on whether developing researchers at PSAU reflect these disciplinary distinctions in their abstracts. The absence of a local corpus baseline creates a gap in understanding. It remains unclear whether the thesis abstracts produced in these applied sciences reflect the field-specific rhetorical norms expected of them, or if they rely on a generic, undifferentiated approach to hedging.</w:t>
      </w:r>
    </w:p>
    <w:p>
      <w:pPr>
        <w:spacing w:line="480" w:lineRule="auto" w:before="0" w:after="0"/>
        <w:ind w:firstLine="720"/>
        <w:jc w:val="both"/>
      </w:pPr>
      <w:r>
        <w:rPr>
          <w:rFonts w:ascii="Georgia" w:hAnsi="Georgia" w:eastAsia="Georgia"/>
          <w:b w:val="0"/>
          <w:i w:val="0"/>
          <w:sz w:val="22"/>
        </w:rPr>
        <w:t>This study addresses that gap by mapping hedging patterns in undergraduate thesis abstracts from three disciplines at PSAU. Generally, it examines how epistemic stance is constructed through hedging patterns in undergraduate thesis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is grounded in a coding scheme adapted from Hyland’s (1998) classification of hedging forms, with categories operationally consolidated for the present corpus. The framework categorizes hedging devices into four types: lexical hedges (e.g., suggest, indicate, possible), modal verbs (e.g., may, might), adverbial hedges (e.g., generally, typically), and clause-level hedges (e.g., it seems, I think). It further identifies three primary functions of hedging: epistemic caution (expressing uncertainty about the truth of a claim), politeness (showing deference to readers or prior research), and discourse organization (structuring the text or managing reader expectations). This framework has been widely applied in corpus studies of academic writing and provides the systematic basis for this study’s coding scheme.</w:t>
      </w:r>
    </w:p>
    <w:p>
      <w:pPr>
        <w:spacing w:line="480" w:lineRule="auto" w:before="0" w:after="0"/>
        <w:ind w:firstLine="720"/>
        <w:jc w:val="both"/>
      </w:pPr>
      <w:r>
        <w:rPr>
          <w:rFonts w:ascii="Georgia" w:hAnsi="Georgia" w:eastAsia="Georgia"/>
          <w:b w:val="0"/>
          <w:i w:val="0"/>
          <w:sz w:val="22"/>
        </w:rPr>
        <w:t>To interpret disciplinary differences and address recent theoretical developments, this study draws on two complementary resources. Salager-Meyer’s (1994) concept of hedging as claim-responsibility management explains why disciplinary differences in hedging, if observed, take the forms they do. Writers use hedges to distribute epistemic responsibility for a claim’s truth, accuracy, or applicability among themselves, their data, and external conditions. Supplementing this is Hyland’s (2005) metadiscourse framework, which repositions hedges as stance markers within a broader model of writer-reader interaction. In this view, hedging is not simply a mechanism of uncertainty but a means by which writers calibrate their commitment to propositions and negotiate knowledge claims with their discourse community. Together, these frameworks provide both the specific mechanism (claim-responsibility distribution) and the broader theoretical home (interactional metadiscourse) for interpreting disciplinary patterns. Neither Salager-Meyer (1994) nor Hyland (2005) is applied as a coding scheme. Instead, they operate as interpretive lenses in the discussion of findings.</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occurs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generates one of the few discipline-specific baseline data on hedging in undergraduate thesis abstracts within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contributes exploratory data on disciplinary variation in developing researchers' hedging practices, an area dominated by expert-writing studies. It extends corpus linguistics research on L2 developing researchers' discourse into the Philippine context, which has received limited attention in the hedging literature.</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provide observable, descriptive data on how PSAU developing researchers hedge in discipline-specific abstracts. This enables advisers to ground their feedback on thesis abstracts in documented local patterns rather than generic advice, and offers a baseline for departmental discussions on rhetorical expectations for hedging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demonstrates that corpus-assisted discourse analysis is a viable methodology for BAELS thesis research. It provides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corpus construction protocol, disproportionate stratified systematic sampling design with per-stratum intervals, and Hyland-based coding scheme can serve as a methodological template. This template can support multi-institutional comparisons, longitudinal studies of hedging development, or L1 and L2 comparative research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described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was the official medium of academic writing instruction at PSAU despite being a second language for most of the population. Hedging was not a standard component of academic writing curricula in most Philippine universities, which tended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These frequency patterns partially align with the literature on disciplinary variation. Afshar et al. (2014) found that agriculture used the fewest hedges among humanities, basic sciences, and agriculture. The present study’s finding that Agriculture has the highest density appears to contradict this. However, Afshar et al. studied expert-written research articles, not undergraduate thesis abstracts. The discrepancy may reflect a difference between expert writing and that of developing researchers: expert agricultural scientists may hedge less because they have established conventions for managing claim responsibility, while developing agricultural researchers may hedge more because they are less certain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of EC is a notable finding, though it requires a caveat about coder reliability. In Hyland's (1998) expert corpus, hedges served multiple functions: epistemic caution dominated, but politeness markers (e.g., “as suggested by Hyland”) and discourse organizers (e.g., “it should be noted that”) also appeared. Their complete absence in this undergraduate corpus suggests that PSAU developing researchers use hedging exclusively to manage certainty about claims, not to manage social relations with readers or to structure their text. However, this functional uniformity must be interpreted in light of two limitations. First, reliability was assessed through intra-rater agreement only (κ = 0.89); without a second independent coder, it is not possible to determine whether the uniform EC assignment reflects the corpus itself or the application of a single interpretive frame. Second, as noted below, the abstract genre may itself suppress interactional functions regardless of writer sophistication. The functional finding is therefore reported as observed in this corpus, not as established.</w:t>
      </w:r>
    </w:p>
    <w:p>
      <w:pPr>
        <w:spacing w:line="480" w:lineRule="auto" w:before="0" w:after="0"/>
        <w:ind w:firstLine="720"/>
        <w:jc w:val="both"/>
      </w:pPr>
      <w:r>
        <w:rPr>
          <w:rFonts w:ascii="Georgia" w:hAnsi="Georgia" w:eastAsia="Georgia"/>
          <w:b w:val="0"/>
          <w:i w:val="0"/>
          <w:sz w:val="22"/>
        </w:rPr>
        <w:t>This functional narrowness is consistent with the literature on developing researchers' academic writing. Hyland and Milton (1997) observed that developing L2 researchers typically use a restricted range of hedge functions, defaulting to epistemic caution and rarely employing the interactional functions that characterize expert writing. The absence of politeness hedges is particularly telling: these devices require awareness of the writer-reader relationship and a rhetorical sensitivity that develops through disciplinary socialization. Their absence suggests that the abstracts in this corpus are written as self-contained reports rather than as contributions to an ongoing disciplinary conversation.</w:t>
      </w:r>
    </w:p>
    <w:p>
      <w:pPr>
        <w:spacing w:line="480" w:lineRule="auto" w:before="0" w:after="0"/>
        <w:ind w:firstLine="720"/>
        <w:jc w:val="both"/>
      </w:pPr>
      <w:r>
        <w:t>The present study cannot distinguish between these two explanations without a comparable expert-abstract corpus, but the genre-constraint interpretation is worth noting as a competing explanation for the functional narrowness observed. Future research with a matched expert-abstract comparison corpus is needed to disentangle genre effects from writer-competence effects. Without such a comparison, the functional uniformity observed here should not be taken as evidence of writer deficit.</w:t>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Taken together, three patterns in the data are consistent with what may be described as pro forma hedging: the acquisition of hedge-like lexical items without the corresponding epistemic function. First, the token “potential” accounts for 38.9% of all lexical hedges and appears in nearly identical syntactic frames across multiple abstracts (“the potential of X as a Y,” “has potential as an X”), suggesting formulaic rather than epistemically motivated deployment. Second, the uniform assignment of all 60 hedges to the Epistemic Caution function, with zero instances of Politeness or Discourse Organization, indicates that writers are not making functional rhetorical choices but defaulting to a single hedge type. Third, the 46.7% zero-hedge rate shows that the majority of writers do not engage hedging at all. When hedging does appear, it often takes the form of a learned lexical shell rather than a calibrated stance marker. This pattern aligns with Demir's (2018) finding that L2 writers underuse hedges for reasons that are partly linguistic, and Petchkij's (2019) observation that explicit instruction can change lexical frequency but not always functional range.</w:t>
      </w:r>
    </w:p>
    <w:p>
      <w:pPr>
        <w:spacing w:line="480" w:lineRule="auto" w:before="0" w:after="0"/>
        <w:ind w:firstLine="720"/>
        <w:jc w:val="both"/>
      </w:pPr>
      <w:r>
        <w:t>The term pro forma hedging is offered here not as an established theoretical construct but as a descriptive label for an observed gap between lexical acquisition and epistemic deployment. The label is supported by three observations within a single corpus; it has not been validated through independent coding, comparison with an expert-abstract corpus, or replication in other L2 contexts. The label should therefore be read as a hypothesis-generating observation, not as a confirmed phenomenon. Subsequent research with inter-rater coding, an expert-abstract comparison corpus, and replication across institutions and disciplines would be needed before the term could be treated as a stable construct. Within the present study, the label serves a heuristic purpose: it identifies a pattern worth investigating, not a finding that has been established.</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investigated hedging patterns in 60 undergraduate thesis abstracts across Agriculture, Veterinary Medicine, and Biology at Pampanga State Agricultural University. The research gap addressed was the absence of empirical data on how Philippine L2 developing researchers in applied life sciences manage epistemic stance through hedging. The study was grounded in Hyland’s (1998) hedging framework, with Salager-Meyer’s (1994) claim-responsibility concept and Hyland’s (2005) stance model serving as interpretive lenses. The methodology employed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outnumber modal verbs in this corpus (60.0% vs 35.0%). That inverts the pattern in most prior studies of developing researchers, where modal verbs dominate (Khunasathitchai et al., 2025; Wang, 2022). The inversion is driven mainly by the token “potential,” which makes up 38.9% of all lexical hedges. Hedging here tends to appear in implications and applications rather than in the reporting of findings themselves.</w:t>
      </w:r>
    </w:p>
    <w:p>
      <w:pPr>
        <w:spacing w:line="480" w:lineRule="auto" w:before="0" w:after="0"/>
        <w:ind w:firstLine="720"/>
        <w:jc w:val="both"/>
      </w:pPr>
      <w:r>
        <w:rPr>
          <w:rFonts w:ascii="Georgia" w:hAnsi="Georgia" w:eastAsia="Georgia"/>
          <w:b w:val="0"/>
          <w:i w:val="0"/>
          <w:sz w:val="22"/>
        </w:rPr>
        <w:t>Hedge density varies across disciplines, though not as the literature would predict. Agriculture (0.60 per 100 words) hedges more than Biology (0.55). Veterinary Medicine sits far lower at 0.18. The pattern does not match Afshar et al. (2014), who found agriculture using the fewest hedges among comparable fields. The difference likely stems from the gap between expert research articles and undergraduate thesis abstracts, and from the specific epistemic demands of each field at PSAU. Veterinary Medicine’s low density is driven by a 65% zero-hedge rate. That absence of overt hedging may reflect the binary character of many clinical diagnostic outcomes.</w:t>
      </w:r>
    </w:p>
    <w:p>
      <w:pPr>
        <w:spacing w:line="480" w:lineRule="auto" w:before="0" w:after="0"/>
        <w:ind w:firstLine="720"/>
        <w:jc w:val="both"/>
      </w:pPr>
      <w:r>
        <w:rPr>
          <w:rFonts w:ascii="Georgia" w:hAnsi="Georgia" w:eastAsia="Georgia"/>
          <w:b w:val="0"/>
          <w:i w:val="0"/>
          <w:sz w:val="22"/>
        </w:rPr>
        <w:t>Every hedge in this corpus serves Epistemic Caution. No politeness or discourse-organization hedges appear. The narrow functional range may come from a restricted repertoire, from the compressed abstract genre, or from the coding scheme itself. The pattern fits earlier findings on developing L2 writers (Hyland &amp; Milton, 1997).</w:t>
      </w:r>
    </w:p>
    <w:p>
      <w:pPr>
        <w:spacing w:line="480" w:lineRule="auto" w:before="0" w:after="0"/>
        <w:ind w:firstLine="720"/>
        <w:jc w:val="both"/>
      </w:pPr>
      <w:r>
        <w:t>The discipline-specific patterns observed in this corpus suggest differences in epistemic stance, though the statistical evidence is borderline (Kruskal-Wallis p = .049) and the Agriculture-Biology contrast is outlier-dependent. The most defensible contrast is Veterinary Medicine's distinct pattern: its 65% zero-hedge rate and 0.18 density are substantially different from both Agriculture and Biology. Agriculture shows a tendency toward cautious implication, hedging applications while stating findings as settled, though this is partly driven by a single outlier abstract (Acs2). Biology shows lexical caution with heavy reliance on “potential” and “suggesting,” much of which is non-epistemic (topic-naming in aim statements). Veterinary Medicine shows assertive reporting, with over half of its abstracts containing zero hedges and the highest count of unhedged assertion sites. Where these patterns hold, they are consistent with Salager-Meyer's (1994) framework: each discipline may create distinct epistemic demands that shape how writers distribute claim responsibility, even at the undergraduate level. Generalization beyond this corpus, however, is not warranted.</w:t>
      </w:r>
    </w:p>
    <w:p>
      <w:pPr>
        <w:spacing w:line="480" w:lineRule="auto" w:before="0" w:after="0"/>
        <w:ind w:firstLine="720"/>
        <w:jc w:val="both"/>
      </w:pPr>
      <w:r>
        <w:rPr>
          <w:rFonts w:ascii="Georgia" w:hAnsi="Georgia" w:eastAsia="Georgia"/>
          <w:b w:val="0"/>
          <w:i w:val="0"/>
          <w:sz w:val="22"/>
        </w:rPr>
        <w:t>Nearly half the abstracts (46.7%) contain no hedges at all. That rate is far higher than the expert-writing literature would lead one to expect, where hedges are common in scientific abstracts (Hyland, 1998). The zero-hedge pattern may reflect a combination of factors: limited explicit instruction on hedging and a genre interpretation that treats the abstract as a space for factual reporting rather than claim management.</w:t>
      </w:r>
    </w:p>
    <w:p>
      <w:pPr>
        <w:spacing w:line="480" w:lineRule="auto" w:before="0" w:after="0"/>
        <w:ind w:firstLine="720"/>
        <w:jc w:val="both"/>
      </w:pPr>
      <w:r>
        <w:rPr>
          <w:rFonts w:ascii="Georgia" w:hAnsi="Georgia" w:eastAsia="Georgia"/>
          <w:b w:val="0"/>
          <w:i w:val="0"/>
          <w:sz w:val="22"/>
        </w:rPr>
        <w:t>When hedging does appear, it often looks like pro forma hedging: the lexical form without the epistemic work. “Potential” alone accounts for 38.9% of lexical hedges, every hedge is coded as Epistemic Caution, and the frames are formulaic. The pattern suggests that these writers acquire the shell of hedging without its function. Teaching more hedge vocabulary will not fix that. Instruction has to target function, not only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integrate explicit hedging feedback into thesis supervision, particularly where zero-hedge rates are highest (as observed in the Veterinary Medicine sample). Supervision should move beyond generic advice to “be cautious” and instead provide discipline-specific examples of how hedging functions in each field’s abstract genre. The finding that hedging, when it appears, often takes the form of pro forma hedging (lexical acquisition without epistemic function) means that instruction must target the function of hedges, not just their form. Teaching more hedge vocabulary without teaching why and when to hedge is unlikely to address the pattern observed in this corpus. Concrete feedback strategies include pointing developing researchers to discipline-specific hedging examples in published abstracts, teaching them to distinguish topic-naming “potential” from epistemic “potential,” focusing revision feedback on Veterinary Medicine abstracts where zero-hedge rates are highest, and including a structured review of hedging in the abstract as a required revision step before final submission.</w:t>
      </w:r>
    </w:p>
    <w:p>
      <w:pPr>
        <w:spacing w:line="480" w:lineRule="auto" w:before="0" w:after="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E-FLT (Electronic Journal of Foreign Language Teaching), 16</w:t>
      </w:r>
      <w:r>
        <w:rPr>
          <w:rFonts w:ascii="Georgia" w:hAnsi="Georgia" w:eastAsia="Georgia"/>
          <w:b w:val="0"/>
          <w:i w:val="0"/>
          <w:sz w:val="22"/>
        </w:rPr>
        <w:t>(1), 1–22. https://e-flt.nus.edu.sg/wp-content/uploads/2020/09/petchkij.pdf</w:t>
      </w:r>
    </w:p>
    <w:p>
      <w:pPr>
        <w:spacing w:line="480" w:lineRule="auto" w:before="0" w:after="0"/>
        <w:ind w:left="720" w:hanging="720"/>
        <w:jc w:val="left"/>
      </w:pPr>
      <w:r>
        <w:rPr>
          <w:rFonts w:ascii="Georgia" w:hAnsi="Georgia" w:eastAsia="Georgia"/>
          <w:b w:val="0"/>
          <w:i w:val="0"/>
          <w:sz w:val="22"/>
        </w:rPr>
        <w:t xml:space="preserve">Rahayu, S., &amp; Suhartono, S.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E: SECOND CODING SAMPLE</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a targeted diagnostic subsample of 6 abstracts selected to stress-test the revised decision rules described in the Coding Revisions and Borderline Cases section. The sample was not randomly drawn; it was constructed to include edge cases that exercise the multi-hedge isolation rule, the extended indicating tautology test, the potential structural-position rule in both directions, and a Veterinary Medicine zero-hedge abstract whose coding is load-bearing for the assertive reporting profile. The raw text is presented first for independent coding, followed by the coded version with all marks applied.</w:t>
      </w:r>
    </w:p>
    <w:p>
      <w:pPr>
        <w:keepNext/>
        <w:keepLines/>
        <w:spacing w:before="240" w:after="240" w:line="480" w:lineRule="auto"/>
        <w:jc w:val="left"/>
      </w:pPr>
      <w:r>
        <w:rPr>
          <w:rFonts w:ascii="Georgia" w:hAnsi="Georgia" w:eastAsia="Georgia"/>
          <w:b w:val="0"/>
          <w:i/>
          <w:sz w:val="24"/>
        </w:rPr>
        <w:t>Selection Rationale</w:t>
      </w:r>
    </w:p>
    <w:p>
      <w:pPr>
        <w:spacing w:line="480" w:lineRule="auto" w:before="0" w:after="0"/>
        <w:jc w:val="both"/>
      </w:pPr>
      <w:r>
        <w:rPr>
          <w:rFonts w:ascii="Georgia" w:hAnsi="Georgia" w:eastAsia="Georgia"/>
          <w:b w:val="0"/>
          <w:i w:val="0"/>
          <w:sz w:val="22"/>
        </w:rPr>
        <w:t>B18: Clean baseline. A single, isolated suggests with no other flagged tokens nearby. If disagreement arises here, something is wrong beyond the revised rules.</w:t>
      </w:r>
    </w:p>
    <w:p>
      <w:pPr>
        <w:spacing w:line="480" w:lineRule="auto" w:before="0" w:after="0"/>
        <w:jc w:val="both"/>
      </w:pPr>
      <w:r>
        <w:rPr>
          <w:rFonts w:ascii="Georgia" w:hAnsi="Georgia" w:eastAsia="Georgia"/>
          <w:b w:val="0"/>
          <w:i w:val="0"/>
          <w:sz w:val="22"/>
        </w:rPr>
        <w:t>Acs1: Edge case for the multi-hedge isolation rule. Contains the suggests that... can significantly enhance stacking pattern that motivated the rule. The can was reclassified from Modal EC to FP-Cap during the revision pass.</w:t>
      </w:r>
    </w:p>
    <w:p>
      <w:pPr>
        <w:spacing w:line="480" w:lineRule="auto" w:before="0" w:after="0"/>
        <w:jc w:val="both"/>
      </w:pPr>
      <w:r>
        <w:rPr>
          <w:rFonts w:ascii="Georgia" w:hAnsi="Georgia" w:eastAsia="Georgia"/>
          <w:b w:val="0"/>
          <w:i w:val="0"/>
          <w:sz w:val="22"/>
        </w:rPr>
        <w:t>Aas8: Edge case for the extended indicating tautology test. Contains indicating superior feed efficiency, reclassified from Lexical EC to FP-Gen because lower feed conversion ratio is the definitional measure of superior feed efficiency in animal nutrition.</w:t>
      </w:r>
    </w:p>
    <w:p>
      <w:pPr>
        <w:spacing w:line="480" w:lineRule="auto" w:before="0" w:after="0"/>
        <w:jc w:val="both"/>
      </w:pPr>
      <w:r>
        <w:rPr>
          <w:rFonts w:ascii="Georgia" w:hAnsi="Georgia" w:eastAsia="Georgia"/>
          <w:b w:val="0"/>
          <w:i w:val="0"/>
          <w:sz w:val="22"/>
        </w:rPr>
        <w:t>B1: Both directions of the potential structural-position rule. The same word is coded oppositely twice in one abstract: once rejected as topic-naming in the aim sentence, once confirmed as a hedge in the conclusion.</w:t>
      </w:r>
    </w:p>
    <w:p>
      <w:pPr>
        <w:spacing w:line="480" w:lineRule="auto" w:before="0" w:after="0"/>
        <w:jc w:val="both"/>
      </w:pPr>
      <w:r>
        <w:rPr>
          <w:rFonts w:ascii="Georgia" w:hAnsi="Georgia" w:eastAsia="Georgia"/>
          <w:b w:val="0"/>
          <w:i w:val="0"/>
          <w:sz w:val="22"/>
        </w:rPr>
        <w:t>B20: Dense rejection cluster. Contains two aim-statement potential rejections, one factive indicate rejection, and one confirmed suggesting hedge, testing whether rejection logic holds under volume.</w:t>
      </w:r>
    </w:p>
    <w:p>
      <w:pPr>
        <w:spacing w:line="480" w:lineRule="auto" w:before="0" w:after="0"/>
        <w:jc w:val="both"/>
      </w:pPr>
      <w:r>
        <w:rPr>
          <w:rFonts w:ascii="Georgia" w:hAnsi="Georgia" w:eastAsia="Georgia"/>
          <w:b w:val="0"/>
          <w:i w:val="0"/>
          <w:sz w:val="22"/>
        </w:rPr>
        <w:t>VM3: Veterinary Medicine zero-hedge abstract. VM's 65% zero-hedge rate is load-bearing for the assertive reporting profile. A second look that turns up a missed hedge would be the finding most worth catching before defense.</w:t>
      </w:r>
    </w:p>
    <w:p>
      <w:pPr>
        <w:keepNext/>
        <w:keepLines/>
        <w:spacing w:before="240" w:after="240" w:line="480" w:lineRule="auto"/>
        <w:jc w:val="left"/>
      </w:pPr>
      <w:r>
        <w:rPr>
          <w:rFonts w:ascii="Georgia" w:hAnsi="Georgia" w:eastAsia="Georgia"/>
          <w:b w:val="0"/>
          <w:i/>
          <w:sz w:val="24"/>
        </w:rPr>
        <w:t>Coded Abstracts</w:t>
      </w:r>
    </w:p>
    <w:p>
      <w:pPr>
        <w:spacing w:line="480" w:lineRule="auto" w:before="0" w:after="0"/>
        <w:ind w:firstLine="720"/>
        <w:jc w:val="both"/>
      </w:pPr>
      <w:r>
        <w:rPr>
          <w:rFonts w:ascii="Georgia" w:hAnsi="Georgia" w:eastAsia="Georgia"/>
          <w:b w:val="0"/>
          <w:i w:val="0"/>
          <w:sz w:val="22"/>
        </w:rPr>
        <w:t>The 6 abstracts are presented below with all coding marks applied per the revised codebook. The raw uncoded text is available separately as 009_2ndRawCorpus.docx for independent second coding using the revised codebook.</w:t>
      </w:r>
    </w:p>
    <w:p>
      <w:pPr>
        <w:spacing w:before="240" w:after="120" w:line="480" w:lineRule="auto"/>
        <w:jc w:val="left"/>
      </w:pPr>
      <w:r>
        <w:rPr>
          <w:rFonts w:ascii="Georgia" w:hAnsi="Georgia" w:eastAsia="Georgia"/>
          <w:b/>
          <w:i w:val="0"/>
          <w:sz w:val="24"/>
        </w:rPr>
        <w:t>B18  ·  286 words  ·  1 hedges  ·  0.35 per 100 words</w:t>
      </w:r>
    </w:p>
    <w:p>
      <w:pPr>
        <w:spacing w:line="480" w:lineRule="auto"/>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240" w:after="120" w:line="480" w:lineRule="auto"/>
        <w:jc w:val="left"/>
      </w:pPr>
      <w:r>
        <w:rPr>
          <w:rFonts w:ascii="Georgia" w:hAnsi="Georgia" w:eastAsia="Georgia"/>
          <w:b/>
          <w:i w:val="0"/>
          <w:sz w:val="24"/>
        </w:rPr>
        <w:t>Acs1  ·  203 words  ·  1 hedges  ·  0.49 per 100 words</w:t>
      </w:r>
    </w:p>
    <w:p>
      <w:pPr>
        <w:spacing w:line="480" w:lineRule="auto"/>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240" w:after="120" w:line="480" w:lineRule="auto"/>
        <w:jc w:val="left"/>
      </w:pPr>
      <w:r>
        <w:rPr>
          <w:rFonts w:ascii="Georgia" w:hAnsi="Georgia" w:eastAsia="Georgia"/>
          <w:b/>
          <w:i w:val="0"/>
          <w:sz w:val="24"/>
        </w:rPr>
        <w:t>Aas8  ·  186 words  ·  0 hedges  ·  0.0 per 100 words</w:t>
      </w:r>
    </w:p>
    <w:p>
      <w:pPr>
        <w:spacing w:line="480" w:lineRule="auto"/>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240" w:after="120" w:line="480" w:lineRule="auto"/>
        <w:jc w:val="left"/>
      </w:pPr>
      <w:r>
        <w:rPr>
          <w:rFonts w:ascii="Georgia" w:hAnsi="Georgia" w:eastAsia="Georgia"/>
          <w:b/>
          <w:i w:val="0"/>
          <w:sz w:val="24"/>
        </w:rPr>
        <w:t>B1  ·  258 words  ·  2 hedges  ·  0.78 per 100 words</w:t>
      </w:r>
    </w:p>
    <w:p>
      <w:pPr>
        <w:spacing w:line="480" w:lineRule="auto"/>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240" w:after="120" w:line="480" w:lineRule="auto"/>
        <w:jc w:val="left"/>
      </w:pPr>
      <w:r>
        <w:rPr>
          <w:rFonts w:ascii="Georgia" w:hAnsi="Georgia" w:eastAsia="Georgia"/>
          <w:b/>
          <w:i w:val="0"/>
          <w:sz w:val="24"/>
        </w:rPr>
        <w:t>B20  ·  223 words  ·  1 hedges  ·  0.45 per 100 words</w:t>
      </w:r>
    </w:p>
    <w:p>
      <w:pPr>
        <w:spacing w:line="480" w:lineRule="auto"/>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240" w:after="120" w:line="480" w:lineRule="auto"/>
        <w:jc w:val="left"/>
      </w:pPr>
      <w:r>
        <w:rPr>
          <w:rFonts w:ascii="Georgia" w:hAnsi="Georgia" w:eastAsia="Georgia"/>
          <w:b/>
          <w:i w:val="0"/>
          <w:sz w:val="24"/>
        </w:rPr>
        <w:t>VM3  ·  296 words  ·  0 hedges  ·  0.0 per 100 words</w:t>
      </w:r>
    </w:p>
    <w:p>
      <w:pPr>
        <w:spacing w:line="480" w:lineRule="auto"/>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