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Academic writers are told to sound cautious. Writing guides tell them to qualify their claims, as though hedging were a single transferable skill. The advice is universal, but how writers apply it differs by field. The open question is whether the language of uncertainty is uniform or shifts with the evidence a field works with.</w:t>
      </w:r>
    </w:p>
    <w:p>
      <w:pPr>
        <w:spacing w:line="480" w:lineRule="auto" w:before="0" w:after="0"/>
        <w:ind w:firstLine="720"/>
        <w:jc w:val="both"/>
      </w:pPr>
      <w:r>
        <w:rPr>
          <w:rFonts w:ascii="Georgia" w:hAnsi="Georgia" w:eastAsia="Georgia"/>
          <w:b w:val="0"/>
          <w:i w:val="0"/>
          <w:sz w:val="22"/>
        </w:rPr>
        <w:t>Expert writers hedge to present claims with caution rather than certainty. Hyland (1998) showed that hedging is a core rhetorical resource and not only a matter of style. Devices such as may, suggest, and generally signal epistemic stance and mark membership in a disciplinary community. Expert norms are well documented. Much less is known about how undergraduate thesis writers handle them. They meet the same genre expectations without an expert's training. Do their abstracts reflect the norms of their fields, or do they show only a generic style of caution?</w:t>
      </w:r>
    </w:p>
    <w:p>
      <w:pPr>
        <w:spacing w:line="480" w:lineRule="auto" w:before="0" w:after="0"/>
        <w:ind w:firstLine="720"/>
        <w:jc w:val="both"/>
      </w:pPr>
      <w:r>
        <w:rPr>
          <w:rFonts w:ascii="Georgia" w:hAnsi="Georgia" w:eastAsia="Georgia"/>
          <w:b w:val="0"/>
          <w:i w:val="0"/>
          <w:sz w:val="22"/>
        </w:rPr>
        <w:t>Hedging matters most in the applied life sciences. Research in Agriculture, Veterinary Medicine, and Biology often bears directly on communities and the environment. Developing researchers who state findings categorically risk treating provisional results as settled, and overstated claims can lead to misused data or unproven practices. Managing epistemic stance is therefore a practical responsibility in these fields as well as a writing skill.</w:t>
      </w:r>
    </w:p>
    <w:p>
      <w:pPr>
        <w:spacing w:line="480" w:lineRule="auto" w:before="0" w:after="0"/>
        <w:ind w:firstLine="720"/>
        <w:jc w:val="both"/>
      </w:pPr>
      <w:r>
        <w:rPr>
          <w:rFonts w:ascii="Georgia" w:hAnsi="Georgia" w:eastAsia="Georgia"/>
          <w:b w:val="0"/>
          <w:i w:val="0"/>
          <w:sz w:val="22"/>
        </w:rPr>
        <w:t>This study asks that question at Pampanga State Agricultural University (PSAU), using thesis abstracts from Agriculture, Veterinary Medicine, and Biology. These are the core applied life sciences programs at PSAU, and they are usually tied to different orientations toward evidence. Agricultural research is often field-based and exposed to environmental variability the researcher cannot control. Biological studies are frequently run under controlled laboratory conditions. Veterinary medicine deals with clinical variables that depend on individual patient outcomes. These boundaries are not absolute, since agricultural work can be lab-based and biology can be field-based. Still, the differing orientations may foster different hedging conventions. If the abstracts reflect disciplinary norms, the differences should show in their hedging. If they do not, all three groups should look alike, which would also tell writing instructors something useful.</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find that developing researchers underuse hedging and rely on a narrow range of devices. Khunasathitchai et al. (2025) analyzed 60 research abstracts by Thai undergraduate English majors and found an average of only 1.47 hedges per abstract, with modal verbs dominating across all claim types. Suratno and Aydawati (2025) reported similar patterns in the discussion sections of Indonesian undergraduate theses. Writers leaned on one or two modal words whatever the argument type, a limit the authors attribute to a lack of explicit instruction and not to weak grammar. At a larger scale, Wang (2022) examined 829 papers by developing researchers across 16 fields in the Michigan Corpus of Upper-Level Student Papers. Disciplinary variation was detectable even in this writing. Researchers in Philosophy and Psychology hedged more than those in Physics and History, though modal verbs still dominated in every discipline.</w:t>
      </w:r>
    </w:p>
    <w:p>
      <w:pPr>
        <w:spacing w:line="480" w:lineRule="auto" w:before="0" w:after="0"/>
        <w:ind w:firstLine="720"/>
        <w:jc w:val="both"/>
      </w:pPr>
      <w:r>
        <w:rPr>
          <w:rFonts w:ascii="Georgia" w:hAnsi="Georgia" w:eastAsia="Georgia"/>
          <w:b w:val="0"/>
          <w:i w:val="0"/>
          <w:sz w:val="22"/>
        </w:rPr>
        <w:t>These studies fit the present work only partly. Khunasathitchai et al. (2025) examined abstracts, so their genre-level findings are the closest comparison, but their setting is Thai and not Philippine. Suratno and Aydawati (2025) analyzed discussion sections, and Wang (2022) analyzed complete papers. Patterns from full-length sections may not carry over to the abstract, where compression forces different choices. None of the three is set in a Philippine L2 context. This study addresses both gaps by analyzing abstracts in a Philippine L2 setting.</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Studies of expert writing confirm that field norms shape hedging, though the pattern is more complex than a hard versus soft science divide. Afshar et al. (2014) analyzed 180 research articles across humanities, basic sciences, and agriculture. Humanities used hedges most, basic sciences came next, and agriculture used the fewest. Mohammed (2011) found the reverse when comparing biochemistry and applied linguistics directly. Biochemistry articles contained more hedging forms, so scientists hedged more than linguists overall. Hamidi et al. (2025) found that clinical science papers used slightly more hedges than basic science papers within the medical domain, though not significantly so.</w:t>
      </w:r>
    </w:p>
    <w:p>
      <w:pPr>
        <w:spacing w:line="480" w:lineRule="auto" w:before="0" w:after="0"/>
        <w:ind w:firstLine="720"/>
        <w:jc w:val="both"/>
      </w:pPr>
      <w:r>
        <w:rPr>
          <w:rFonts w:ascii="Georgia" w:hAnsi="Georgia" w:eastAsia="Georgia"/>
          <w:b w:val="0"/>
          <w:i w:val="0"/>
          <w:sz w:val="22"/>
        </w:rPr>
        <w:t>These findings do not necessarily contradict one another. Afshar et al. and Mohammed compare different disciplinary pairings and use different hedge taxonomies. Hedging density appears to depend on the epistemic demands of a field, meaning what writers must answer for, and not on a single hard versus soft dimension. This is the point Salager-Meyer (1994) makes in theorizing hedging as claim-responsibility management. For the present study, it means that Agriculture, Veterinary Medicine, and Biology may differ in their hedging because each requires writers to manage a different kind of epistemic responsibility, and not because one field is harder than another. Whether undergraduate abstracts show such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English is the medium of academic writing instruction at PSAU, so research on L2 hedging applies. Demir (2018) found that non-native English writers used significantly fewer hedges, and less variety, than native writers. Mohammed (2011) added a cultural dimension, reporting that American authors used 14 to 15 percent more hedging forms than Arabic authors writing in the same disciplines. L2 writers may therefore be working under rhetorical conventions carried over from their L1 contexts. Petchkij (2019) showed that explicit instruction can shift this. Thai health science developing researchers increased both hedge frequency and variety after targeted instruction, yet their preference for modal verbs persisted. Some aspects of hedging seem to need deeper disciplinary exposure.</w:t>
      </w:r>
    </w:p>
    <w:p>
      <w:pPr>
        <w:spacing w:line="480" w:lineRule="auto" w:before="0" w:after="0"/>
        <w:ind w:firstLine="720"/>
        <w:jc w:val="both"/>
      </w:pPr>
      <w:r>
        <w:rPr>
          <w:rFonts w:ascii="Georgia" w:hAnsi="Georgia" w:eastAsia="Georgia"/>
          <w:b w:val="0"/>
          <w:i w:val="0"/>
          <w:sz w:val="22"/>
        </w:rPr>
        <w:t>Taken together, these studies suggest that L2 writers underuse hedging for reasons that are partly linguistic and partly instructional, and exposure to the language alone does not close the gap. Hedging demands both pragmatic fluency and disciplinary exposure, and writers at PSAU have limited access to either. They write in L2 English, receive little explicit hedging instruction, and follow writing curricula that stress structure and grammar over epistemic stance. Because L2 proficiency is not measured here, the study cannot separate linguistic constraints from disciplinary conventions. Observed patterns may reflect L2 proficiency, disciplinary socialization, or both together. The study therefore makes no causal claim and aims to establish a descriptive baseline of the texts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is a distinctive setting. English is the official medium of instruction in tertiary education, but most Filipino developing researchers acquire it as a second or additional language, shaped by exposure to Filipino, regional languages, and code-switching. These practices differ from the hedging conventions of standard academic English. Studies of Philippine developing researchers' writing show patterns consistent with the wider L2 literature, along with some local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the Philippines included, preferred boosters over hedges. Ningrum, Puspita, and Mulyadi (2024) noted that learners overused boosters such as completely, really, and always, and also showed patterns in hedges such as usually, often, and maybe. This points to a regional lean toward assertiveness over caution. Locally, Escalona (2025) examined hedges and boosters in essays by AB-English and BS-Information Technology developing researchers at Bukidnon State University. Major-field differences were not statistically significant, but IT writers used slightly more hedges and English writers slightly more boosters, which Escalona links to the technical versus persuasive orientations of the two fields. Escalona concludes that teaching hedges and boosters in class is vital for building academic language skills among Philippine university developing researchers.</w:t>
      </w:r>
    </w:p>
    <w:p>
      <w:pPr>
        <w:spacing w:line="480" w:lineRule="auto" w:before="0" w:after="0"/>
        <w:ind w:firstLine="720"/>
        <w:jc w:val="both"/>
      </w:pPr>
      <w:r>
        <w:rPr>
          <w:rFonts w:ascii="Georgia" w:hAnsi="Georgia" w:eastAsia="Georgia"/>
          <w:b w:val="0"/>
          <w:i w:val="0"/>
          <w:sz w:val="22"/>
        </w:rPr>
        <w:t>Lopez et al. (2025) analyzed 50 argumentative essays by English Language Studies majors at a state university in northern Philippines. Participants' general proficiency was at the developing stage, and epistemic modal verbs occurred most often at every proficiency level. Hedging has also been studied in Philippine public discourse. Villanueva (2014) analyzed editorials from the Philippine Daily Inquirer, Manila Bulletin, and Philippine Star and found that hedges managed the accountability of editorial claims, especially on politically sensitive content. The data are journalistic and not academic, but they show that hedging is a context-sensitive practice whose forms and functions shift with the communicative situation.</w:t>
      </w:r>
    </w:p>
    <w:p>
      <w:pPr>
        <w:spacing w:line="480" w:lineRule="auto" w:before="0" w:after="0"/>
        <w:ind w:firstLine="720"/>
        <w:jc w:val="both"/>
      </w:pPr>
      <w:r>
        <w:rPr>
          <w:rFonts w:ascii="Georgia" w:hAnsi="Georgia" w:eastAsia="Georgia"/>
          <w:b w:val="0"/>
          <w:i w:val="0"/>
          <w:sz w:val="22"/>
        </w:rPr>
        <w:t>Philippine writers at various levels thus appear to rely mainly on modal verbs and to show limited hedge variety, the pattern this study expects in the PSAU corpus. What remains unknown is whether disciplinary context produces any differentiation within that general tendency, or whether L2 proficiency and limited instruction flatten the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has distinct linguistic characteristics that justify studying it apart from full papers. Imataki and Kobayashi (2024) analyzed 5,000 expert abstracts from five scientific fields and found measurable disciplinary differences in voice, nominalization, and lexical choice, reflecting how experts compress their research into limited space. Hyland (1998) established the central role of hedging in expert scientific writing. Studies of developing researchers consistently show fewer hedges and a narrower range of devices than experts use (Hyland &amp; Milton, 1997; Khunasathitchai et al., 2025; Wang, 2022). Whether developing researchers show disciplinary differentiation in the abstract genre is an open empirical question, as is whether all three groups converge on the same modal-dominated hedging regardless of field.</w:t>
      </w:r>
    </w:p>
    <w:p>
      <w:pPr>
        <w:spacing w:line="480" w:lineRule="auto" w:before="0" w:after="0"/>
        <w:ind w:firstLine="720"/>
        <w:jc w:val="both"/>
      </w:pPr>
      <w:r>
        <w:rPr>
          <w:rFonts w:ascii="Georgia" w:hAnsi="Georgia" w:eastAsia="Georgia"/>
          <w:b w:val="0"/>
          <w:i w:val="0"/>
          <w:sz w:val="22"/>
        </w:rPr>
        <w:t>Across this literature, expert writers in scientific and medical fields show measurable disciplinary differences in hedging. These do not arise because one field is harder than another. Different fields create different epistemic demands, which shape how writers manage claim responsibility (Salager-Meyer, 1994). Developing researchers, by contrast, show limited hedge variety in many contexts. They default to modal verbs and underuse more context-specific devices, whatever their discipline (Khunasathitchai et al., 2025; Wang, 2022). L2 and EFL writers face added constraints, since linguistic factors and limited instruction can suppress the richer repertoire that disciplinary socialization might otherwise build (Demir, 2018; Petchkij, 2019). Regional and Philippine studies likewise report a reliance on modal verbs and, in some contexts, a lean toward boosters (Ningrum et al., 2024; Escalona, 2025; Lopez et al., 2025).</w:t>
      </w:r>
    </w:p>
    <w:p>
      <w:pPr>
        <w:spacing w:line="480" w:lineRule="auto" w:before="0" w:after="0"/>
        <w:ind w:firstLine="720"/>
        <w:jc w:val="both"/>
      </w:pPr>
      <w:r>
        <w:rPr>
          <w:rFonts w:ascii="Georgia" w:hAnsi="Georgia" w:eastAsia="Georgia"/>
          <w:b w:val="0"/>
          <w:i w:val="0"/>
          <w:sz w:val="22"/>
        </w:rPr>
        <w:t>A gap runs through all of these bodies of work. No published study identified in this review examines hedging in undergraduate thesis abstracts from applied science disciplines in a Philippine L2 context. Research on developing researchers' hedging has rarely targeted abstracts. Research on the abstract genre has focused almost entirely on experts. Research on L2 hedging draws mainly on Thai, Indonesian, and Western settings. Studies of Philippine academic writing have not examined thesis abstracts in Agriculture, Veterinary Medicine, or Biology.</w:t>
      </w:r>
    </w:p>
    <w:p>
      <w:pPr>
        <w:spacing w:line="480" w:lineRule="auto" w:before="0" w:after="0"/>
        <w:ind w:firstLine="720"/>
        <w:jc w:val="both"/>
      </w:pPr>
      <w:r>
        <w:rPr>
          <w:rFonts w:ascii="Georgia" w:hAnsi="Georgia" w:eastAsia="Georgia"/>
          <w:b w:val="0"/>
          <w:i w:val="0"/>
          <w:sz w:val="22"/>
        </w:rPr>
        <w:t>This study addresses that intersection at PSAU. It compares hedging across three applied life sciences disciplines that share an institutional setting but differ in their relationship to evidence, and so establishes a local baseline. The findings can move writing instruction at PSAU from generic advice to be cautious toward discipline-sensitive guidance grounded in evidence.</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discipline-specific management of uncertainty, yet little is known about how Philippine developing researchers handle these conventions. Previous studies show that expert hedging varies across fields such as Agriculture and Biology. No local corpus baseline shows whether developing researchers at PSAU reflect these distinctions in their abstracts. It remains unclear whether their abstracts follow the field-specific norms expected of them or rely on a generic, undifferentiated approach to hedging.</w:t>
      </w:r>
    </w:p>
    <w:p>
      <w:pPr>
        <w:spacing w:line="480" w:lineRule="auto" w:before="0" w:after="0"/>
        <w:ind w:firstLine="720"/>
        <w:jc w:val="both"/>
      </w:pPr>
      <w:r>
        <w:rPr>
          <w:rFonts w:ascii="Georgia" w:hAnsi="Georgia" w:eastAsia="Georgia"/>
          <w:b w:val="0"/>
          <w:i w:val="0"/>
          <w:sz w:val="22"/>
        </w:rPr>
        <w:t>This study fills that gap by mapping hedging patterns in undergraduate thesis abstracts from three disciplines at PSAU. Generally, it examines how epistemic stance is constructed through hedging in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uses a coding scheme adapted from Hyland's (1998) classification of hedging forms, with categories consolidated for the present corpus. It sorts hedging devices into four types: lexical hedges (e.g., suggest, indicate, possible), modal verbs (e.g., may, might), adverbial hedges (e.g., generally, typically), and clause-level hedges (e.g., it seems, I think). It identifies three functions: epistemic caution, which expresses uncertainty about the truth of a claim, politeness, which shows deference to readers or prior research, and discourse organization, which structures the text or manages reader expectations. The framework is widely used in corpus studies of academic writing.</w:t>
      </w:r>
    </w:p>
    <w:p>
      <w:pPr>
        <w:spacing w:line="480" w:lineRule="auto" w:before="0" w:after="0"/>
        <w:ind w:firstLine="720"/>
        <w:jc w:val="both"/>
      </w:pPr>
      <w:r>
        <w:rPr>
          <w:rFonts w:ascii="Georgia" w:hAnsi="Georgia" w:eastAsia="Georgia"/>
          <w:b w:val="0"/>
          <w:i w:val="0"/>
          <w:sz w:val="22"/>
        </w:rPr>
        <w:t>Two complementary resources guide the interpretation of disciplinary differences. Salager-Meyer's (1994) concept of hedging as claim-responsibility management explains why disciplinary differences, if observed, take the forms they do. Writers use hedges to distribute responsibility for a claim's truth, accuracy, or applicability among themselves, their data, and external conditions. Hyland's (2005) metadiscourse framework adds a broader view in which hedges are stance markers within writer-reader interaction. Hedging then becomes a way for writers to calibrate their commitment to propositions and negotiate knowledge claims with their discourse community, and not only a mark of uncertainty. Together the two supply a mechanism (claim-responsibility distribution) and a theoretical home (interactional metadiscourse). Neither serves as a coding scheme. Both operate as interpretive lenses in the discussion of findings.</w:t>
      </w:r>
    </w:p>
    <w:p>
      <w:pPr>
        <w:spacing w:line="480" w:lineRule="auto" w:before="0" w:after="0"/>
        <w:ind w:firstLine="720"/>
        <w:jc w:val="both"/>
      </w:pPr>
      <w:r>
        <w:rPr>
          <w:rFonts w:ascii="Georgia" w:hAnsi="Georgia" w:eastAsia="Georgia"/>
          <w:b w:val="0"/>
          <w:i w:val="0"/>
          <w:sz w:val="22"/>
        </w:rPr>
        <w:t>Coding followed three sequential stages, guided by the decision rules in Appendix A. First, each abstract was read in full before any marking, so that coding decisions rested on discourse context and not on keyword recognition. Second, each potential hedge was classified by type: modal verb, lexical hedge, adverbial hedge, or clause-level hedge. Third, each confirmed hedge was assigned a function: epistemic caution, politeness, or discourse organization. Coding type and function separately allowed the type-function cross-tabulation that RQ4 required.</w:t>
      </w:r>
    </w:p>
    <w:p>
      <w:pPr>
        <w:spacing w:line="480" w:lineRule="auto" w:before="0" w:after="0"/>
        <w:ind w:firstLine="720"/>
        <w:jc w:val="both"/>
      </w:pPr>
      <w:r>
        <w:rPr>
          <w:rFonts w:ascii="Georgia" w:hAnsi="Georgia" w:eastAsia="Georgia"/>
          <w:b w:val="0"/>
          <w:i w:val="0"/>
          <w:sz w:val="22"/>
        </w:rPr>
        <w:t>Figure 1 presents the conceptual framework. The independent variable is discipline (Agriculture, Veterinary Medicine, and Biology). The outcome measures are hedge type frequency, distribution, and function. The analysis moves from hedge identification through frequency analysis and cross-disciplinary comparison to functional interpretation. Two conditions bound the interpretation of findings. The texts come from developing researchers whose work may not yet reflect disciplinary norms, and the PSAU context involves L2 English use although proficiency is not measured as a variable.</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provides one of the few discipline-specific baselines on hedging in undergraduate thesis abstracts at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adds exploratory data on disciplinary variation in developing researchers' hedging, an area dominated by studies of expert writing. It extends corpus research on L2 developing researchers' discourse into the Philippine context, which the hedging literature has largely overlooked.</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give advisers observable, descriptive data on how PSAU developing researchers hedge in discipline-specific abstracts. Advisers can ground their feedback in documented local patterns and not in generic advice, and departments gain a baseline for discussing rhetorical expectations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shows that corpus-assisted discourse analysis is a workable method for BAELS thesis research and offers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sampling protocol and the Hyland-based coding scheme can serve as a template for multi-institutional comparisons, longitudinal studies of hedging development, or L1 and L2 comparisons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The study covers undergraduate thesis abstracts from Agriculture, Veterinary Medicine, and Biology at PSAU, completed between 2023 and 2025. The corpus holds 60 abstracts, 20 per discipline, with Agriculture split evenly between Crop Science and Animal Science (10 each). The sampling procedure is described under Research Corpus. The two Agriculture sub-programs are analyzed as one discipline for cross-disciplinary comparison, and sub-program differences are documented separately.</w:t>
      </w:r>
    </w:p>
    <w:p>
      <w:pPr>
        <w:spacing w:line="480" w:lineRule="auto" w:before="0" w:after="0"/>
        <w:ind w:firstLine="720"/>
        <w:jc w:val="both"/>
      </w:pPr>
      <w:r>
        <w:rPr>
          <w:rFonts w:ascii="Georgia" w:hAnsi="Georgia" w:eastAsia="Georgia"/>
          <w:b w:val="0"/>
          <w:i w:val="0"/>
          <w:sz w:val="22"/>
        </w:rPr>
        <w:t>Sixty texts match the scale of comparable corpus studies at the undergraduate level. Khunasathitchai et al. (2025) analyzed 60 abstracts, and Wang (2022) used similar per-discipline proportions. For manual functional coding within one institution, this size allows pattern identification without exceeding what a BA thesis can handle. Findings are treated as indicative patterns within the PSAU context. Exploratory inferential tests (chi-square, Kruskal-Wallis) are reported transparently but are not confirmatory, given the small, zero-inflated sample. Pilot testing flagged this risk early, when 75% of the pilot abstracts contained no hedges. The main corpus's rate of 46.7% was lower, probably because the pilot had only four abstracts. Zero-hedge abstracts limit comparison of hedge variety, but the study treats them as a valid sign of categorical claim formulation and not as a methodological failure.</w:t>
      </w:r>
    </w:p>
    <w:p>
      <w:pPr>
        <w:spacing w:line="480" w:lineRule="auto" w:before="0" w:after="0"/>
        <w:ind w:firstLine="720"/>
        <w:jc w:val="both"/>
      </w:pPr>
      <w:r>
        <w:rPr>
          <w:rFonts w:ascii="Georgia" w:hAnsi="Georgia" w:eastAsia="Georgia"/>
          <w:b w:val="0"/>
          <w:i w:val="0"/>
          <w:sz w:val="22"/>
        </w:rPr>
        <w:t>The study is limited to complete English-language abstracts. Abstracts with significant Filipino code-switching are excluded for linguistic consistency. Each thesis is classified by the degree program under which it was officially submitted and not by research topic. L2 proficiency is not measured. Where patterns could reflect proficiency as well as discipline, the study notes this as a limitation for future research with proficiency controls.</w:t>
      </w:r>
    </w:p>
    <w:p>
      <w:pPr>
        <w:spacing w:line="480" w:lineRule="auto" w:before="0" w:after="0"/>
        <w:ind w:firstLine="720"/>
        <w:jc w:val="both"/>
      </w:pPr>
      <w:r>
        <w:rPr>
          <w:rFonts w:ascii="Georgia" w:hAnsi="Georgia" w:eastAsia="Georgia"/>
          <w:b w:val="0"/>
          <w:i w:val="0"/>
          <w:sz w:val="22"/>
        </w:rPr>
        <w:t>Rhetorical compression in the abstract genre may suppress hedging variety relative to full-text discussions, so the findings describe this constrained genre only and should not be extended to developing researchers' hedging in longer texts. The study takes hedges as its object and counts boosters only in the zero-hedge abstracts, to check whether the absence of hedging reflects neutral reporting. Credibility in academic writing balances caution and certainty, but this study focuses on managing uncertainty, which is often the harder skill for developing L2 researchers to acquire.</w:t>
      </w:r>
    </w:p>
    <w:p>
      <w:pPr>
        <w:spacing w:line="480" w:lineRule="auto" w:before="0" w:after="0"/>
        <w:ind w:firstLine="720"/>
        <w:jc w:val="both"/>
      </w:pPr>
      <w:r>
        <w:t>Reliability was assessed through intra-rater agreement only. Without a second coder, the coding scheme could not be checked against an independent application of the same rules. This weakens the functional findings in Part III most. The assignment of all 60 hedges to Epistemic Caution may reflect one coder's interpretive frame and not a property of the corpus. Inter-rater coding on at least a subset of the corpus is needed before the functional findings can be treated as established.</w:t>
      </w:r>
    </w:p>
    <w:p>
      <w:pPr>
        <w:spacing w:line="480" w:lineRule="auto" w:before="0" w:after="0"/>
        <w:ind w:firstLine="720"/>
        <w:jc w:val="both"/>
      </w:pPr>
      <w:r>
        <w:t>The study also lacks an expert-abstract corpus for comparison. The absence of interactional hedges (Politeness, Discourse Organization) may reflect genre compression and not writer deficit. Expert abstracts from the same disciplines, coded with the same scheme, would separate genre effects from writer-competence effects. Until then, the functional narrowness reported here cannot be attributed to writer characteristics.</w:t>
      </w:r>
    </w:p>
    <w:p>
      <w:pPr>
        <w:spacing w:line="480" w:lineRule="auto" w:before="0" w:after="0"/>
        <w:ind w:firstLine="720"/>
        <w:jc w:val="both"/>
      </w:pPr>
      <w:r>
        <w:rPr>
          <w:rFonts w:ascii="Georgia" w:hAnsi="Georgia" w:eastAsia="Georgia"/>
          <w:b w:val="0"/>
          <w:i w:val="0"/>
          <w:sz w:val="22"/>
        </w:rPr>
        <w:t>Finally, the study treats each archived abstract as a ratified textual product and not as a measure of individual cognition. Undergraduate theses are heavily supervised, and abstracts often go through several adviser-guided revisions. Observed hedging therefore reflects the standards of the disciplinary community as enforced by advisers as much as the independent choices of the writers. Claims are limited to the epistemic stance constructed in the final abstracts and the departmental standards they represent. The findings are descriptive of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keep their use consistent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 concise, self-contained summary of a research work. Operationally, the complete English-language summary section of undergraduate theses in the PSAU library archives from 2023 to 2025, containing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adverbs or adverbial expressions that qualify the scope, frequency, or certainty of a proposition. Operationally, generally, typically, possibly, probably, relatively, and essentially, coded when they restrict the generalizability of a claim and not when they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disciplines that apply scientific knowledge to the study and management of living organisms and biological systems. Operationally, the three PSAU undergraduate programs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the epistemic obligation a writer accepts for the accuracy, truth, or limits of a statement (Salager-Meyer, 1994). Writers use hedges to distribute it among themselves, their data, and external factors. Operationally, it is the interpretive lens for analyzing why particular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syntactic structures that frame a proposition as tentative, approximate, or open to qualification. Operationally, expressions such as it seems that, it is possible that, to some extent, and in our view, coded when the whole clause expresses the writer's reservation about the proposition it frames.</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the use of systematic text collections to identify linguistic patterns, combining quantitative frequency measures with qualitative functional interpretation. Operationally,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systematic differences in language use across academic fields that arise from different epistemic norms, evidence types, and rhetorical conventions. Operationally, observable differences in hedging frequency, type, and function across the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the linguistic expression of a writer's degree of commitment to the truth, certainty, or reliability of a proposition. Operationally, the aggregate pattern of hedging devices in an abstract. Frequent hedges indicate a cautious or tentative stance, and few or none indicate a stance of certainty or full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the rhetorical purpose a hedging device serves in its discourse context. Operationally, one of three categories drawn from Hyland's (1998) framework: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the use of linguistic devices to express caution or tentativeness in academic writing, a mechanism for managing claim responsibility (Salager-Meyer, 1994). Operationally, the four device categories identified in the corpus following Hyland's (1998) taxonomy: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verbs, adjectives, or nouns that introduce uncertainty or tentativeness at the propositional level. Operationally, verbs such as suggest, indicate, appear, and seem, adjectives such as possible, probable, and likely, and nouns such as possibility and assumption, coded when they qualify a claim epistemically and not when they describe or recommend.</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auxiliary verbs that express degrees of possibility, probability, or conditionality. Operationally, may, might, could, would, should, and can, coded when they signal epistemic uncertainty about a claim and not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a method for comparing linguistic features across texts of different lengths by standardizing counts to a base unit. Operationally, Normalized Frequency = (Total Hedges / Total Word Count) x 100. An abstract with 3 hedges and 258 words, for example, has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the use of hedge-like lexical items (e.g., potential) in formulaic syntactic frames without a matching adjustment in the writer's commitment to the claim. Operationally, the observed pattern in which a single token ("potential") recurs in near-identical syntactic positions across abstracts while all hedges serve one function. The term is a descriptive label and not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and corpus selection. Each decision followed from the research questions and from the practical limits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The study was situated at Pampanga State Agricultural University (PSAU), a state university specializing in agricultural and applied life sciences. Agriculture, Veterinary Medicine, and Biology are its core applied life science programs, which made them the natural choice for an institutional corpus study.</w:t>
      </w:r>
    </w:p>
    <w:p>
      <w:pPr>
        <w:spacing w:line="480" w:lineRule="auto" w:before="0" w:after="0"/>
        <w:ind w:firstLine="720"/>
        <w:jc w:val="both"/>
      </w:pPr>
      <w:r>
        <w:rPr>
          <w:rFonts w:ascii="Georgia" w:hAnsi="Georgia" w:eastAsia="Georgia"/>
          <w:b w:val="0"/>
          <w:i w:val="0"/>
          <w:sz w:val="22"/>
        </w:rPr>
        <w:t>English is the official medium of academic writing instruction at PSAU although it is a second language for most of the population. Philippine universities tend to stress structure and grammatical correctness over hedging. Developing researchers writing thesis abstracts were therefore producing a genre that demanded hedging with limited explicit preparation for its epistemic requirements. These conditions made PSAU a representative site for examining disciplinary hedging among developing researchers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no rigid rhetorical template for abstracts. This left room for disciplinary and individual variation, so observed hedging patterns reflected negotiated textual choices and not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The study used a descriptive mixed-methods design that combined quantitative frequency analysis with qualitative functional interpretation (Biber et al., 1998). The quantitative layer identified hedge type and distribution through counts normalized per 100 words, which allowed comparison across disciplines on a common scale. The qualitative layer assigned rhetorical functions to the identified hedges using Hyland's (1998) framework. Salager-Meyer's (1994) claim-responsibility concept and Hyland's (2005) stance model then informed the interpretation of disciplinary patterns. All coding was done manually in Google Sheets. Automated tools cannot reliably assign hedge function from context, and function was central to the research questions, so researcher judgment took priority.</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Institutional intellectual property policy restricts soft copies, so access was limited to on-site reading of hard-bound copies. The researcher received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Abstracts were sampled by the stratified systematic procedure described under Research Corpus. Each thesis was assigned to a discipline by the degree program under which it was officially submitted (e.g., B.S. Agriculture, B.S. Biology, D.V.M.) and not by research topic, to keep the classification objective.</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photographed on site from the hard-bound copies and converted to plain text with Optical Character Recognition (OCR) tools such as Google Drive or Adobe Scan. Each text was checked manually against the original photographs. Sentences containing potential hedge tokens received particular attention, since OCR errors there would directly affect the coding. Text files were anonymized with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on four abstracts outside the final corpus refined the coding scheme and set decision rules for ambiguous cases (see Appendix A). The pilot abstracts came from PSAU library theses completed before 2023, outside the study's inclusion window. Reliability checking had two steps. First, intra-rater consistency was tested by double-coding about 10% of the corpus (6 abstracts, 2 per discipline) after a one-week interval, which gave 95% exact agreement (Cohen's κ = 0.89, almost perfect agreement per Landis &amp; Koch, 1977). Second, the thesis adviser reviewed the coded data for consistency and accuracy. Combining intra-rater reliability with adviser-supervised validation is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followed the three-stage sequence described under Research Framework, using a Google Sheets template. Ambiguous cases were resolved with the decision rules in Appendix A. Frequencies were normalized per 100 words to allow comparison across abstracts of different lengths. The quantitative analysis showed what hedges were used, and Salager-Meyer's (1994) claim-responsibility framework and Hyland's (2005) stance model were applied to interpret why. Given the corpus size, the inferential tests (chi-square, Kruskal-Wallis) were exploratory, as noted under Scope and Limitations.</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took 1 week. Corpus construction and on-site photography took 3 weeks. OCR verification and text preparation took 2 weeks. Pilot testing and coding finalization took 2 weeks. Full coding and frequency analysis took 8 weeks (about 10 hours per week), and writing and revision took 8 weeks. The estimated total was 24 weeks, or about 5.5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After the first coding pass, borderline tokens were re-examined with the contextual decision rules in Appendix A. The forms can, potential, indicating, and possibility needed particular attention, because each can act as an epistemic hedge or as a non-epistemic item depending on context. Four refinements resulted. First, "can" with an active content verb describing a treatment effect (enhance, promote, reduce, help) was classified as capability (FP-Cap), even inside a "suggests that" clause, because removing "can" alone did not change the epistemic weight of a clause already carried by "suggests." Second, the "indicating" tautology test was extended from numeric restatement to field-standard interpretive thresholds. "Non-toxic" (from no mortality observed), "limited benefits" (from poor performance), and "superior feed efficiency" (from a lower feed conversion ratio) were reclassified as operational restatements (FP-Gen) and not inferential hedges. Third, the "potential + noun" topic-naming rule was extended to "possibility + noun" in aim and methods sentences. Fourth, a multi-hedge Working Test rule was added: when a sentence holds several hedge-like tokens, each is tested alone, ignoring the others, and counts only if removing it changes the epistemic weight of its own clause. The final corpus therefore reflects contextual and not purely lexical classification, and the 63 rejected candidates document the decision trail. One outlier, Acs2, used a repeated hedging template twice with light variation ("This suggests that while X might not have been Y, Z could still [verb] beneficial effects"), which inflated its token count through formulaic repetition and not through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hedging in the 60 undergraduate thesis abstracts. It has four parts, one for each research question. Part I covers hedge types, Part II hedge frequency across disciplines, Part III rhetorical functions, and Part IV what the frequency and functional patterns suggest about discipline-specific hedging profiles.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in the 60-abstract corpus. They were classified into four types following Hyland's (1998) taxonomy: modal verbs, lexical hedges, adverbial hedges, and clause-level hedges. Table 2 gives the distribution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Lexical hedges dominated with 36 instances (60.0%), followed by modal verbs with 21 (35.0%) and adverbial hedges with 3 (5.0%). No clause-level hedges appeared in any abstract. This partly matches the literature, where modal verbs are usually the most frequent type in developing researchers' writing (Khunasathitchai et al., 2025; Wang, 2022). Here, however, lexical hedges outnumber modal verbs, which departs from the modal-dominated pattern in earlier studies.</w:t>
      </w:r>
    </w:p>
    <w:p>
      <w:pPr>
        <w:spacing w:line="480" w:lineRule="auto" w:before="0" w:after="0"/>
        <w:ind w:firstLine="720"/>
        <w:jc w:val="both"/>
      </w:pPr>
      <w:r>
        <w:rPr>
          <w:rFonts w:ascii="Georgia" w:hAnsi="Georgia" w:eastAsia="Georgia"/>
          <w:b w:val="0"/>
          <w:i w:val="0"/>
          <w:sz w:val="22"/>
        </w:rPr>
        <w:t>Within the lexical category, the token "potential" accounted for 14 of 36 instances (38.9%) and was the most frequent hedge token in the corpus. Other frequent lexical hedges were "suggests" (7), "indicating" (6), and "suggesting" (3). Among modal verbs, "can" led with 9 instances, mostly in inferential constructions such as "can be stated" and "can be derived," followed by "could" (7) and "may" (6). The prominence of "potential" reflects a specific move: qualifying implications and not results. Writers used it to frame findings as having possible applications, as in "the potential of B. subtilis as a sustainable solution." That is softer than asserting that B. subtilis is a sustainable solution, but it stops short of the direct tentativeness that "may" or "might" would give. A concordance of all 14 instances shows a recurring phraseological pattern: "the potential of X as a Y," "has potential as an X" (e.g., "has potential as an alternative feed ration"), and "highlight their potential as X" (e.g., "highlight their potential as effective, low-cost biofertilizers"). Because these frames appear in near-identical positions across abstracts and disciplines, "potential" seems to work partly as a learned formula and not as a fully epistemic choice. Agriculture and Biology account for 11 of the 14 instances and Veterinary Medicine for 3, which may reflect the practical orientation of the first two fields.</w:t>
      </w:r>
    </w:p>
    <w:p>
      <w:pPr>
        <w:spacing w:line="480" w:lineRule="auto" w:before="0" w:after="0"/>
        <w:ind w:firstLine="720"/>
        <w:jc w:val="both"/>
      </w:pPr>
      <w:r>
        <w:rPr>
          <w:rFonts w:ascii="Georgia" w:hAnsi="Georgia" w:eastAsia="Georgia"/>
          <w:b w:val="0"/>
          <w:i w:val="0"/>
          <w:sz w:val="22"/>
        </w:rPr>
        <w:t>Hedge types also vary by discipline. Table 3 gives the breakdown.</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Agriculture is nearly balanced between modal verbs (14, 53.8%) and lexical hedges (12, 46.2%). Biology is heavily lexical (17 of 25 hedges, 68.0%, with only 5 modal verbs), and Veterinary Medicine, with only 9 hedges, is also mostly lexical (7 of 9, 77.8%). Agriculture is thus the only discipline where modal verbs are used with any frequency, possibly reflecting a style in which writers voice possibility directly through modals. Biology's reliance on lexical hedges, particularly "potential," suggests a preference for qualifying implications at the word level. The near absence of adverbial hedges (3 instances, all in Biology) confirms how narrow the repertoire is.</w:t>
      </w:r>
    </w:p>
    <w:p>
      <w:pPr>
        <w:spacing w:line="480" w:lineRule="auto" w:before="0" w:after="0"/>
        <w:ind w:firstLine="720"/>
        <w:jc w:val="both"/>
      </w:pPr>
      <w:r>
        <w:rPr>
          <w:rFonts w:ascii="Georgia" w:hAnsi="Georgia" w:eastAsia="Georgia"/>
          <w:b w:val="0"/>
          <w:i w:val="0"/>
          <w:sz w:val="22"/>
        </w:rPr>
        <w:t>The absence of clause-level hedges fits findings that developing researchers rarely use complex syntactic structures for epistemic management (Hyland &amp; Milton, 1997). Phrases such as "it seems that" or "it is possible that" need a degree of syntactic and rhetorical sophistication these writers may not yet have, so PSAU researchers appear to rely on simpler, word-level devices.</w:t>
      </w:r>
    </w:p>
    <w:p>
      <w:pPr>
        <w:spacing w:line="480" w:lineRule="auto" w:before="0" w:after="0"/>
        <w:ind w:firstLine="720"/>
        <w:jc w:val="both"/>
      </w:pPr>
      <w:r>
        <w:rPr>
          <w:rFonts w:ascii="Georgia" w:hAnsi="Georgia" w:eastAsia="Georgia"/>
          <w:b w:val="0"/>
          <w:i w:val="0"/>
          <w:sz w:val="22"/>
        </w:rPr>
        <w:t>The corpus also yielded 63 false positives, hedge-like words flagged at first and then rejected under the codebook's Working Test. FP-Gen (general exclusion, including topic-naming and evidential pointers) accounted for 38, FP-Rec (recommendations) for 15, FP-Cap (capability) for 8, and FP-Proc (procedural norms) for 2. The many FP-Gen cases, especially "potential" in aim and methods statements, expose a systematic ambiguity: the same word hedges in conclusion sentences but names a topic in introduction and methods sentences. The codebook resolves this with a stricter rule for "potential + noun" based on structural position and not verb choice. This rule is the most methodologically interesting feature of the scheme, since keyword matching alone would have inflated the hedge count by treating topic-naming as epistemic.</w:t>
      </w:r>
    </w:p>
    <w:p>
      <w:pPr>
        <w:spacing w:line="480" w:lineRule="auto" w:before="0" w:after="0"/>
        <w:ind w:firstLine="720"/>
        <w:jc w:val="both"/>
      </w:pPr>
      <w:r>
        <w:rPr>
          <w:rFonts w:ascii="Georgia" w:hAnsi="Georgia" w:eastAsia="Georgia"/>
          <w:b w:val="0"/>
          <w:i w:val="0"/>
          <w:sz w:val="22"/>
        </w:rPr>
        <w:t>In the 28 zero-hedge abstracts, 37 unhedged assertion sites were identified: 24 result claims [R], 9 generalizations [G], and 4 causal claims [C]. Each is a clause where a hedge could have been inserted without changing the facts, yet the writer stated the claim with bare certainty. These sites show an absence of overt hedging and not cautious reporting. Expert abstracts rarely contain no hedges at all (Hyland, 1998), so the 46.7% zero-hedge rate departs sharply from expert norms.</w:t>
      </w:r>
    </w:p>
    <w:p>
      <w:pPr>
        <w:spacing w:line="480" w:lineRule="auto" w:before="0" w:after="0"/>
        <w:ind w:firstLine="720"/>
        <w:jc w:val="both"/>
      </w:pPr>
      <w:r>
        <w:rPr>
          <w:rFonts w:ascii="Georgia" w:hAnsi="Georgia" w:eastAsia="Georgia"/>
          <w:b w:val="0"/>
          <w:i w:val="0"/>
          <w:sz w:val="22"/>
        </w:rPr>
        <w:t>A booster count in the same 28 abstracts found 88 tokens. The most frequent were showed (18), revealed (13), observed (12), and highest (12). These assertive markers confirm that zero-hedge abstracts do not report neutrally. Findings are stated emphatically and not tentatively.</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Hedge density varies considerably across disciplines. Table 4 gives hedge counts, false positives, unhedged sites, and normalized frequency (hedges per 100 words) for each.</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Agriculture had the highest density at 0.60 per 100 words (26 hedges in 4,300 words), followed by Biology at 0.55 (25 in 4,509) and Veterinary Medicine at 0.18 (9 in 5,060). The overall density was 0.43. Agriculture's lead over Biology is slim (0.05), but Veterinary Medicine sits at about one-third of the rate of either.</w:t>
      </w:r>
    </w:p>
    <w:p>
      <w:pPr>
        <w:spacing w:line="480" w:lineRule="auto" w:before="0" w:after="0"/>
        <w:ind w:firstLine="720"/>
        <w:jc w:val="both"/>
      </w:pPr>
      <w:r>
        <w:rPr>
          <w:rFonts w:ascii="Georgia" w:hAnsi="Georgia" w:eastAsia="Georgia"/>
          <w:b w:val="0"/>
          <w:i w:val="0"/>
          <w:sz w:val="22"/>
        </w:rPr>
        <w:t>Of the 60 abstracts, 28 (46.7%) contained no hedge tokens. Veterinary Medicine accounted for 13 of them (65% of its abstracts), Agriculture for 8 (40%), and Biology for 7 (35%). That concentration drives Veterinary Medicine's low density. A chi-square test of the zero-hedge distribution across disciplines (discipline × zero/nonzero) was not significant (χ² = 4.15, df = 2, p = 0.13), so the differences in zero-hedge rates do not reach statistical significance at this sample size.</w:t>
      </w:r>
    </w:p>
    <w:p>
      <w:pPr>
        <w:spacing w:line="480" w:lineRule="auto" w:before="0" w:after="0"/>
        <w:ind w:firstLine="720"/>
        <w:jc w:val="both"/>
      </w:pPr>
      <w:r>
        <w:rPr>
          <w:rFonts w:ascii="Georgia" w:hAnsi="Georgia" w:eastAsia="Georgia"/>
          <w:b w:val="0"/>
          <w:i w:val="0"/>
          <w:sz w:val="22"/>
        </w:rPr>
        <w:t>Per-abstract distributions are strongly skewed. Agriculture averaged 1.30 hedges (median = 1, SD = 1.84, range = 0 to 8), Biology 1.25 (median = 1, SD = 1.25, range = 0 to 4), and Veterinary Medicine 0.45 (median = 0, SD = 0.76, range = 0 to 3). Agriculture's high SD reflects Acs2, which alone contained 8 hedges. With Acs2 excluded as a sensitivity check, Agriculture's density falls to 0.44 per 100 words, below Biology's 0.55, so the Agriculture &gt; Biology ranking depends partly on one outlier. An exploratory Kruskal-Wallis test on per-abstract counts gave H = 6.02, p = .049, which hints at a difference in the distribution of hedge counts across disciplines. Given the small, zero-inflated sample, this is preliminary and not strong evidence.</w:t>
      </w:r>
    </w:p>
    <w:p>
      <w:pPr>
        <w:spacing w:line="480" w:lineRule="auto" w:before="0" w:after="0"/>
        <w:ind w:firstLine="720"/>
        <w:jc w:val="both"/>
      </w:pPr>
      <w:r>
        <w:rPr>
          <w:rFonts w:ascii="Georgia" w:hAnsi="Georgia" w:eastAsia="Georgia"/>
          <w:b w:val="0"/>
          <w:i w:val="0"/>
          <w:sz w:val="22"/>
        </w:rPr>
        <w:t>These patterns align only partly with the literature. Afshar et al. (2014) found that agriculture used the fewest hedges among humanities, basic sciences, and agriculture, while the present study finds Agriculture highest. Their data, however, came from expert research articles and not undergraduate abstracts. The gap may reflect a difference between expert and developing writers. Expert agricultural scientists may hedge less because they have settled conventions for managing claim responsibility, while developing agricultural researchers may hedge more because they are less sure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harder to interpret. Many VM abstracts reported clinical findings from animal studies, such as drug efficacy trials, disease detection, and hematological profiling. Several involved diagnostic or presence/absence outcomes, which may help explain the categorical reporting. A writer who finds that "no positive results were observed" may see little reason to hedge, since an absence is reported as fact and not as interpretation. This fits Salager-Meyer's (1994) claim-responsibility framework: when evidence is binary, epistemic responsibility is lower and hedging less necessary.</w:t>
      </w:r>
    </w:p>
    <w:p>
      <w:pPr>
        <w:spacing w:line="480" w:lineRule="auto" w:before="0" w:after="0"/>
        <w:ind w:firstLine="720"/>
        <w:jc w:val="both"/>
      </w:pPr>
      <w:r>
        <w:rPr>
          <w:rFonts w:ascii="Georgia" w:hAnsi="Georgia" w:eastAsia="Georgia"/>
          <w:b w:val="0"/>
          <w:i w:val="0"/>
          <w:sz w:val="22"/>
        </w:rPr>
        <w:t>False positives also vary by discipline. Biology produced 35, far more than Agriculture (15) or Veterinary Medicine (13), partly because its abstracts used "potential" in aim statements and "indicated by" evidential pointers more often. These constructions look like hedges but express no uncertainty about a claim. A higher false positive count does not mean Biology writers hedge more. It means they use more hedge-like vocabulary for non-hedging purposes.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served Epistemic Caution (EC). No instance of Politeness/Deference (P) or Discourse Organization (DO) was identified. Table 5 gives the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This uniformity needs a caveat about coder reliability. In Hyland's (1998) expert corpus, hedges served several functions. Epistemic caution dominated, but politeness markers (e.g., "as suggested by Hyland") and discourse organizers (e.g., "it should be noted that") also appeared. Their absence here suggests that PSAU developing researchers use hedging only to manage certainty about claims, and not to manage relations with readers or to structure the text. Two limitations qualify this reading. First, reliability rests on intra-rater agreement alone (κ = 0.89), so without a second coder it is impossible to tell whether the uniform EC assignment reflects the corpus or a single interpretive frame. Second, the abstract genre may suppress interactional functions whatever the writer's sophistication. The finding is therefore reported as observed in this corpus and not as established.</w:t>
      </w:r>
    </w:p>
    <w:p>
      <w:pPr>
        <w:spacing w:line="480" w:lineRule="auto" w:before="0" w:after="0"/>
        <w:ind w:firstLine="720"/>
        <w:jc w:val="both"/>
      </w:pPr>
      <w:r>
        <w:rPr>
          <w:rFonts w:ascii="Georgia" w:hAnsi="Georgia" w:eastAsia="Georgia"/>
          <w:b w:val="0"/>
          <w:i w:val="0"/>
          <w:sz w:val="22"/>
        </w:rPr>
        <w:t>The narrowness fits the literature on developing researchers' writing. Hyland and Milton (1997) observed that developing L2 researchers typically use a restricted range of hedge functions, defaulting to epistemic caution and rarely using the interactional functions of expert writing. Politeness hedges in particular require awareness of the writer-reader relationship, a sensitivity that develops through disciplinary socialization. Their absence suggests the abstracts are written as self-contained reports and not as contributions to an ongoing disciplinary conversation.</w:t>
      </w:r>
    </w:p>
    <w:p>
      <w:pPr>
        <w:spacing w:line="480" w:lineRule="auto" w:before="0" w:after="0"/>
        <w:ind w:firstLine="720"/>
        <w:jc w:val="both"/>
      </w:pPr>
      <w:r>
        <w:t>The study cannot choose between the writer-competence and genre-constraint explanations without a matched expert-abstract corpus. Until such a comparison exists, the functional uniformity should not be read as evidence of writer deficit.</w:t>
      </w:r>
    </w:p>
    <w:p>
      <w:pPr>
        <w:spacing w:line="480" w:lineRule="auto" w:before="0" w:after="0"/>
        <w:ind w:firstLine="720"/>
        <w:jc w:val="both"/>
      </w:pPr>
      <w:r>
        <w:rPr>
          <w:rFonts w:ascii="Georgia" w:hAnsi="Georgia" w:eastAsia="Georgia"/>
          <w:b w:val="0"/>
          <w:i w:val="0"/>
          <w:sz w:val="22"/>
        </w:rPr>
        <w:t>Type and function line up in the same way. The 21 modal verbs (all EC) mostly expressed possibility about results or implications, as in "the biosynthesis... may affect the overall development." The 36 lexical hedges (all EC) qualified the strength of findings, as in "results suggest that fermented banana peel... can significantly enhance growth." Because every type converges on one function, these writers appear to treat hedging mainly as a tool for managing factual certainty, and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Parts I through III show three patterns in this corpus. With 20 abstracts per discipline and borderline statistical support (Kruskal-Wallis p = .049, and p = .13 for the chi-square test on the zero-hedge distribution, which does not meet the conventional p &lt; .05 threshold), they are exploratory observations and not established typologies. The labels below describe what was observed here and should not be read as stable discipline-level traits. Generalization beyond this corpus and these three disciplines is not warranted. Salager-Meyer's (1994) claim-responsibility framework and Hyland's (2005) stance model guide the interpretation.</w:t>
      </w:r>
    </w:p>
    <w:p>
      <w:pPr>
        <w:spacing w:line="480" w:lineRule="auto" w:before="0" w:after="0"/>
        <w:ind w:firstLine="720"/>
        <w:jc w:val="both"/>
      </w:pPr>
      <w:r>
        <w:t>Agriculture: An observed pattern suggestive of cautious implication, though outlier-dependent. Agriculture's density (0.60 per 100 words) is partly driven by one abstract, Acs2, which alone contained 8 hedges. Without it, Agriculture falls below Biology (0.44 vs. 0.55), so the Agriculture-Biology contrast is marginal and not robust. Within that caveat, the balanced use of modal verbs (14) and lexical hedges (12) suggests a tendency toward cautious implication. Agricultural writers frequently hedged implications and not direct results. "Potential" appeared 4 times and "suggests" 4 times, typically in conclusion sentences that draw out the practical significance of findings. This matches Salager-Meyer's (1994) distributed claim responsibility: the finding is presented as settled (e.g., "results showed no significant difference") while the implication is hedged (e.g., "this suggests that Trichoderma and fermented azolla at proper application frequencies could be beneficial"). It may reflect the practical orientation of agricultural research, where findings bear directly on farming practice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comes almost entirely from lexical hedges (17 of 25, 68.0%), with only 5 modal verbs. The leading tokens, "potential" (7) and "indicating" (3), suggest that Biology writers hedge at the level of implication and not at the level of finding. The high false positive count (35) reflects frequent use of "potential" in aim statements, as in "this study aimed to identify the histoprotective potential of Balakat extract," where the word names a research topic and does not qualify a claim. Biology abstracts therefore use hedge-like vocabulary often, but much of it is non-epistemic. The genuine caution sits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very low density (0.18) and high zero-hedge rate (65%) point to assertive reporting. Its abstracts mostly used factive verbs (showed, revealed, demonstrated, confirmed) without qualification, and its 15 unhedged assertion sites, the most of any discipline, suggest findings stated as settled fact and not as tentative conclusions. One plausible explanation is the nature of VM research, which often involves diagnostic testing and clinical outcomes with binary results. When a test shows that "no positive results were observed," there is little epistemic space for hedging, in line with the claim-responsibility account given in Part II. The competing explanation, that VM developing researchers lack awareness of hedging conventions, cannot be ruled out. But the highest count of unhedged assertion sites points to systematic categorical reporting and not random omission.</w:t>
      </w:r>
    </w:p>
    <w:p>
      <w:pPr>
        <w:spacing w:line="480" w:lineRule="auto" w:before="0" w:after="0"/>
        <w:ind w:firstLine="720"/>
        <w:jc w:val="both"/>
      </w:pPr>
      <w:r>
        <w:rPr>
          <w:rFonts w:ascii="Georgia" w:hAnsi="Georgia" w:eastAsia="Georgia"/>
          <w:b w:val="0"/>
          <w:i w:val="0"/>
          <w:sz w:val="22"/>
        </w:rPr>
        <w:t>Taken together, the three profiles do not map onto a hard versus soft science distinction. Agriculture, an applied science, hedges more than Biology, a basic science, and clinically applied Veterinary Medicine hedges least. This supports Salager-Meyer's (1994) argument that hedging density depends on the epistemic demands of a field and not on a single dimension of disciplinary hardness. Agricultural field variability, biological laboratory control, and veterinary clinical outcomes may create different epistemic demands that shape how even undergraduates manage claim responsibility. The most robust finding is the Veterinary Medicine distinction: its 65% zero-hedge rate and 0.18 density differ substantially from both other disciplines,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suggests that most of the 60 hedge tokens cluster in implication and conclusion sentences and not in direct results reporting. "Potential" (14) and "suggests/suggesting" (10) mostly appear in sentences about what findings mean for future applications, while result sentences more often use factive verbs (showed, revealed, demonstrated) without qualification. The pattern is strongest in Agriculture and weakest in Veterinary Medicine, where results and implications are both stated categorically. A formal move-structured analysis would be needed to quantify this, but the qualitative pattern supports the reading that developing researchers hedge the implications of findings and report the findings themselves as settled.</w:t>
      </w:r>
    </w:p>
    <w:p>
      <w:pPr>
        <w:spacing w:line="480" w:lineRule="auto" w:before="0" w:after="0"/>
        <w:ind w:firstLine="720"/>
        <w:jc w:val="both"/>
      </w:pPr>
      <w:r>
        <w:rPr>
          <w:rFonts w:ascii="Georgia" w:hAnsi="Georgia" w:eastAsia="Georgia"/>
          <w:b w:val="0"/>
          <w:i w:val="0"/>
          <w:sz w:val="22"/>
        </w:rPr>
        <w:t>The study cannot tell whether these patterns reflect epistemic norms the writers have internalized or conventions enforced by advisers during supervision. As noted under Scope and Limitations, the findings describe the textual artifacts produced at PSAU and not the cognitive processes of individual writers.</w:t>
      </w:r>
    </w:p>
    <w:p>
      <w:pPr>
        <w:spacing w:line="480" w:lineRule="auto" w:before="0" w:after="0"/>
        <w:ind w:firstLine="720"/>
        <w:jc w:val="both"/>
      </w:pPr>
      <w:r>
        <w:t>Three observations in the data fit what may be called pro forma hedging, the acquisition of hedge-like lexical items without the matching epistemic function. First, "potential" makes up 38.9% of lexical hedges and recurs in near-identical frames ("the potential of X as a Y," "has potential as an X"), which suggests formulaic and not epistemically motivated use. Second, all 60 hedges serve Epistemic Caution, with no Politeness or Discourse Organization, which suggests writers default to a single hedge function and do not choose functionally. Third, the 46.7% zero-hedge rate shows that nearly half of the writers do not hedge at all. When hedging does appear, it often takes the form of a learned lexical shell and not a calibrated stance marker. This agrees with Demir's (2018) finding that L2 writers underuse hedges for partly linguistic reasons and with Petchkij's (2019) observation that explicit instruction can change lexical frequency without always widening functional range.</w:t>
      </w:r>
    </w:p>
    <w:p>
      <w:pPr>
        <w:spacing w:line="480" w:lineRule="auto" w:before="0" w:after="0"/>
        <w:ind w:firstLine="720"/>
        <w:jc w:val="both"/>
      </w:pPr>
      <w:r>
        <w:t>Pro forma hedging is a descriptive label for an observed gap between lexical acquisition and epistemic deployment, and not an established construct. It rests on three observations within one corpus and has not been validated through independent coding, comparison with an expert-abstract corpus, or replication in other L2 contexts. It should be read as a hypothesis-generating observation. Inter-rater coding, an expert comparison corpus, and replication across institutions and disciplines would be needed before the term could be treated as stable. Within this study it serves a heuristic purpose, marking a pattern worth investigating.</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examined hedging in 60 undergraduate thesis abstracts across Agriculture, Veterinary Medicine, and Biology at PSAU, where no empirical data existed on how Philippine L2 developing researchers in applied life sciences manage epistemic stance. It used Hyland's (1998) hedging framework, with Salager-Meyer's (1994) claim-responsibility concept and Hyland's (2005) stance model as interpretive lenses, and applied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(60.0% vs. 35.0%), inverting the pattern in most studies of developing researchers, where modal verbs dominate (Khunasathitchai et al., 2025; Wang, 2022). The inversion comes mainly from the token "potential," which makes up 38.9% of lexical hedges. Hedging tends to appear in implications and applications and not in the reporting of findings.</w:t>
      </w:r>
    </w:p>
    <w:p>
      <w:pPr>
        <w:spacing w:line="480" w:lineRule="auto" w:before="0" w:after="0"/>
        <w:ind w:firstLine="720"/>
        <w:jc w:val="both"/>
      </w:pPr>
      <w:r>
        <w:rPr>
          <w:rFonts w:ascii="Georgia" w:hAnsi="Georgia" w:eastAsia="Georgia"/>
          <w:b w:val="0"/>
          <w:i w:val="0"/>
          <w:sz w:val="22"/>
        </w:rPr>
        <w:t>Hedge density varies across disciplines, though not as the literature predicts. Agriculture (0.60 per 100 words) hedges more than Biology (0.55), and Veterinary Medicine sits far lower at 0.18. This does not match Afshar et al. (2014), who found agriculture using the fewest hedges. The gap likely stems from the difference between expert articles and undergraduate abstracts and from each field's epistemic demands at PSAU. Veterinary Medicine's low density comes from a 65% zero-hedge rate, which may reflect the binary character of many clinical diagnostic outcomes.</w:t>
      </w:r>
    </w:p>
    <w:p>
      <w:pPr>
        <w:spacing w:line="480" w:lineRule="auto" w:before="0" w:after="0"/>
        <w:ind w:firstLine="720"/>
        <w:jc w:val="both"/>
      </w:pPr>
      <w:r>
        <w:rPr>
          <w:rFonts w:ascii="Georgia" w:hAnsi="Georgia" w:eastAsia="Georgia"/>
          <w:b w:val="0"/>
          <w:i w:val="0"/>
          <w:sz w:val="22"/>
        </w:rPr>
        <w:t>Every hedge serves Epistemic Caution, and no politeness or discourse-organization hedges appear. The narrow range may come from a restricted repertoire, from the compressed abstract genre, or from the coding scheme itself. It fits earlier findings on developing L2 writers (Hyland &amp; Milton, 1997).</w:t>
      </w:r>
    </w:p>
    <w:p>
      <w:pPr>
        <w:spacing w:line="480" w:lineRule="auto" w:before="0" w:after="0"/>
        <w:ind w:firstLine="720"/>
        <w:jc w:val="both"/>
      </w:pPr>
      <w:r>
        <w:t>The discipline-specific patterns suggest differences in epistemic stance, but the statistical evidence is borderline (Kruskal-Wallis p = .049) and the Agriculture-Biology contrast depends on an outlier. The most defensible contrast is Veterinary Medicine's: its 65% zero-hedge rate and 0.18 density differ substantially from both other disciplines, and it has the most unhedged assertion sites. Agriculture leans toward cautious implication, hedging applications while stating findings as settled, though one outlier abstract (Acs2) drives part of this. Biology shows lexical caution, relying on "potential" and "suggesting" among coded hedges, alongside frequent topic-naming "potential" in aim statements, which accounts for its high false-positive count. Where these patterns hold, they are consistent with Salager-Meyer's (1994) framework, in which each discipline may create distinct epistemic demands that shape how writers distribute claim responsibility. Generalization beyond this corpus is not warranted.</w:t>
      </w:r>
    </w:p>
    <w:p>
      <w:pPr>
        <w:spacing w:line="480" w:lineRule="auto" w:before="0" w:after="0"/>
        <w:ind w:firstLine="720"/>
        <w:jc w:val="both"/>
      </w:pPr>
      <w:r>
        <w:rPr>
          <w:rFonts w:ascii="Georgia" w:hAnsi="Georgia" w:eastAsia="Georgia"/>
          <w:b w:val="0"/>
          <w:i w:val="0"/>
          <w:sz w:val="22"/>
        </w:rPr>
        <w:t>Nearly half the abstracts (46.7%) contain no hedges. That is far above what expert-writing research would predict, since hedges are common in scientific abstracts (Hyland, 1998). Limited explicit instruction, and a view of the abstract as a space for factual reporting and not claim management, may both contribute.</w:t>
      </w:r>
    </w:p>
    <w:p>
      <w:pPr>
        <w:spacing w:line="480" w:lineRule="auto" w:before="0" w:after="0"/>
        <w:ind w:firstLine="720"/>
        <w:jc w:val="both"/>
      </w:pPr>
      <w:r>
        <w:rPr>
          <w:rFonts w:ascii="Georgia" w:hAnsi="Georgia" w:eastAsia="Georgia"/>
          <w:b w:val="0"/>
          <w:i w:val="0"/>
          <w:sz w:val="22"/>
        </w:rPr>
        <w:t>When hedging does appear, it often looks like pro forma hedging, the lexical form without the epistemic work. "Potential" alone accounts for 38.9% of lexical hedges, every hedge is coded as Epistemic Caution, and the frames are formulaic. These writers seem to acquire the shell of hedging without its function. More hedge vocabulary will not fix that, so instruction has to target function and not only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build explicit hedging feedback into supervision, especially where zero-hedge rates are highest, as in the Veterinary Medicine sample. Feedback should move past generic advice to be cautious and show discipline-specific examples of how hedging works in each field's abstracts. Because pro forma hedging means instruction must teach function and not just form, advisers should explain why and when to hedge and not only supply more vocabulary. Concrete strategies include pointing developing researchers to hedging examples in published abstracts from their discipline, teaching them to tell topic-naming "potential" from epistemic "potential," focusing revision feedback on Veterinary Medicine abstracts, and making a structured review of hedging in the abstract a required revision step before final submission.</w:t>
      </w:r>
    </w:p>
    <w:p>
      <w:pPr>
        <w:spacing w:line="480" w:lineRule="auto" w:before="0" w:after="0"/>
        <w:ind w:firstLine="720"/>
        <w:jc w:val="both"/>
      </w:pPr>
      <w:r>
        <w:rPr>
          <w:rFonts w:ascii="Georgia" w:hAnsi="Georgia" w:eastAsia="Georgia"/>
          <w:b w:val="0"/>
          <w:i w:val="0"/>
          <w:sz w:val="22"/>
        </w:rPr>
        <w:t>Table 6 is a provisional, data-informed checklist advisers may use as a starting point. It maps the most frequent patterns in this small corpus to possible revision focuses. Because counts are low and the statistical contrasts borderline, it is exploratory guidance and not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test whether these patterns persist across institutions and cohorts. A multi-institutional comparison with other Philippine state universities would show whether they are specific to PSAU or typical of Philippine developing researchers' writing more broadly. Longitudinal studies that follow individual writers from first draft to final abstract would clarify how adviser feedback shapes the patterns.</w:t>
      </w:r>
    </w:p>
    <w:p>
      <w:pPr>
        <w:spacing w:line="480" w:lineRule="auto" w:before="0" w:after="0"/>
        <w:ind w:firstLine="720"/>
        <w:jc w:val="both"/>
      </w:pPr>
      <w:r>
        <w:rPr>
          <w:rFonts w:ascii="Georgia" w:hAnsi="Georgia" w:eastAsia="Georgia"/>
          <w:b w:val="0"/>
          <w:i w:val="0"/>
          <w:sz w:val="22"/>
        </w:rPr>
        <w:t>Future research should also measure English proficiency as an independent variable, which this design did not. Controlling for proficiency across disciplines would show whether the patterns reflect disciplinary differentiation or shared linguistic constraints that suppress hedge variety in every field.</w:t>
      </w:r>
    </w:p>
    <w:p>
      <w:pPr>
        <w:spacing w:line="480" w:lineRule="auto" w:before="0" w:after="0"/>
        <w:ind w:firstLine="720"/>
        <w:jc w:val="both"/>
      </w:pPr>
      <w:r>
        <w:rPr>
          <w:rFonts w:ascii="Georgia" w:hAnsi="Georgia" w:eastAsia="Georgia"/>
          <w:b w:val="0"/>
          <w:i w:val="0"/>
          <w:sz w:val="22"/>
        </w:rPr>
        <w:t>The role of thesis advisers deserves its own study. Because undergraduate theses are heavily supervised, the patterns may reflect departmental standards more than writer choices. Interviewing advisers about their expectations for abstracts, and about hedging in particular, would separate writer agency from supervisory influence. If VM advisers discourage hedging in abstracts, that would support the binary-outcome interpretation. If they do not address hedging at all, that would support the awareness-deficit interpretation.</w:t>
      </w:r>
    </w:p>
    <w:p>
      <w:pPr>
        <w:spacing w:line="480" w:lineRule="auto" w:before="0" w:after="0"/>
        <w:ind w:firstLine="720"/>
        <w:jc w:val="both"/>
      </w:pPr>
      <w:r>
        <w:rPr>
          <w:rFonts w:ascii="Georgia" w:hAnsi="Georgia" w:eastAsia="Georgia"/>
          <w:b w:val="0"/>
          <w:i w:val="0"/>
          <w:sz w:val="22"/>
        </w:rPr>
        <w:t>The codebook's decision rules and the Layer 3 unhedged assertion site analysis can serve as a template for studies of other disciplines, genres, or institutions, including full-length thesis sections and research articles, where there is more room for hedge variety than in an abstract. Future studies should also examine boosters (e.g., clearly, demonstrated, confirmed) alongside hedges, since some zero-hedge abstracts in this corpus still make assertive claims through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Use of Hedges in Research Abstracts Across Applied Life Sciences (Draft 007)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