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 xml:space="preserve">All 60 retained hedges were coded as Epistemic Caution. No politeness or discourse-organization functions appear. The uniform assignment may reflect a restricted repertoire, the compressed abstract genre, the coding scheme, or single-rater interpretation; the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.052; chi-square on zero-hedge distribution p = .13, neither of which reaches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 xml:space="preserve">Three observations support a descriptive label of pro forma hedging, not a confirmed construct: (1) potential accounts for 38.9% of lexical hedges and recurs in near-identical frames; (2) all retained hedges serve a single function; (3) 46.7% of abstracts contain no hedges at all.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 xml:space="preserve">Lexical hedges outnumber modal verbs (60.0% vs 35.0%), inverting the modal-dominant pattern common in developing-researcher studies (Khunasathitchai et al., 2025; Wang, 2022), largely because of formulaic potential. Density is highest in Agriculture (0.60 per 100 words), then Biology (0.55), then Veterinary Medicine (0.18). Nearly half of abstracts contain no coded hedges; Veterinary Medicine alone accounts for a 65% zero-hedge rate. Every retained hedge serves Epistemic Caution.</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sensitive to a single outlier. The patterns are consistent with field-specific epistemic demands (Salager-Meyer, 1994) operating even among developing writers, but statistical evidence is borderline (Kruskal-Wallis p ≈ .052)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 xml:space="preserve">Thesis advisers at PSAU should treat hedging as a teachable, discipline-sensitive skill rather than a generic call to “be cautious.” Feedback is most needed where zero-hedge rates are highest (Veterinary Medicine in this sample). Instruction should distinguish topic-naming potential in aim statements from epistemic potential in conclusions, and should expand beyond modal verbs toward adverbial and clause-level options where the genre allows.</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