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E: SECOND CODING SAMPLE</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a targeted diagnostic subsample of 6 abstracts selected to stress-test the revised decision rules described in the Coding Revisions and Borderline Cases section. The sample was not randomly drawn; it was constructed to include edge cases that exercise the multi-hedge isolation rule, the extended indicating tautology test, the potential structural-position rule in both directions, and a Veterinary Medicine zero-hedge abstract whose coding is load-bearing for the assertive reporting profile. The raw text is presented first for independent coding, followed by the coded version with all marks applied.</w:t>
      </w:r>
    </w:p>
    <w:p>
      <w:pPr>
        <w:keepNext/>
        <w:keepLines/>
        <w:spacing w:before="240" w:after="240" w:line="480" w:lineRule="auto"/>
        <w:jc w:val="left"/>
      </w:pPr>
      <w:r>
        <w:rPr>
          <w:rFonts w:ascii="Georgia" w:hAnsi="Georgia" w:eastAsia="Georgia"/>
          <w:b w:val="0"/>
          <w:i/>
          <w:sz w:val="24"/>
        </w:rPr>
        <w:t>Selection Rationale</w:t>
      </w:r>
    </w:p>
    <w:p>
      <w:pPr>
        <w:spacing w:line="480" w:lineRule="auto" w:before="0" w:after="0"/>
        <w:jc w:val="both"/>
      </w:pPr>
      <w:r>
        <w:rPr>
          <w:rFonts w:ascii="Georgia" w:hAnsi="Georgia" w:eastAsia="Georgia"/>
          <w:b w:val="0"/>
          <w:i w:val="0"/>
          <w:sz w:val="22"/>
        </w:rPr>
        <w:t>B18: Clean baseline. A single, isolated suggests with no other flagged tokens nearby. If disagreement arises here, something is wrong beyond the revised rules.</w:t>
      </w:r>
    </w:p>
    <w:p>
      <w:pPr>
        <w:spacing w:line="480" w:lineRule="auto" w:before="0" w:after="0"/>
        <w:jc w:val="both"/>
      </w:pPr>
      <w:r>
        <w:rPr>
          <w:rFonts w:ascii="Georgia" w:hAnsi="Georgia" w:eastAsia="Georgia"/>
          <w:b w:val="0"/>
          <w:i w:val="0"/>
          <w:sz w:val="22"/>
        </w:rPr>
        <w:t>Acs1: Edge case for the multi-hedge isolation rule. Contains the suggests that... can significantly enhance stacking pattern that motivated the rule. The can was reclassified from Modal EC to FP-Cap during the revision pass.</w:t>
      </w:r>
    </w:p>
    <w:p>
      <w:pPr>
        <w:spacing w:line="480" w:lineRule="auto" w:before="0" w:after="0"/>
        <w:jc w:val="both"/>
      </w:pPr>
      <w:r>
        <w:rPr>
          <w:rFonts w:ascii="Georgia" w:hAnsi="Georgia" w:eastAsia="Georgia"/>
          <w:b w:val="0"/>
          <w:i w:val="0"/>
          <w:sz w:val="22"/>
        </w:rPr>
        <w:t>Aas8: Edge case for the extended indicating tautology test. Contains indicating superior feed efficiency, reclassified from Lexical EC to FP-Gen because lower feed conversion ratio is the definitional measure of superior feed efficiency in animal nutrition.</w:t>
      </w:r>
    </w:p>
    <w:p>
      <w:pPr>
        <w:spacing w:line="480" w:lineRule="auto" w:before="0" w:after="0"/>
        <w:jc w:val="both"/>
      </w:pPr>
      <w:r>
        <w:rPr>
          <w:rFonts w:ascii="Georgia" w:hAnsi="Georgia" w:eastAsia="Georgia"/>
          <w:b w:val="0"/>
          <w:i w:val="0"/>
          <w:sz w:val="22"/>
        </w:rPr>
        <w:t>B1: Both directions of the potential structural-position rule. The same word is coded oppositely twice in one abstract: once rejected as topic-naming in the aim sentence, once confirmed as a hedge in the conclusion.</w:t>
      </w:r>
    </w:p>
    <w:p>
      <w:pPr>
        <w:spacing w:line="480" w:lineRule="auto" w:before="0" w:after="0"/>
        <w:jc w:val="both"/>
      </w:pPr>
      <w:r>
        <w:rPr>
          <w:rFonts w:ascii="Georgia" w:hAnsi="Georgia" w:eastAsia="Georgia"/>
          <w:b w:val="0"/>
          <w:i w:val="0"/>
          <w:sz w:val="22"/>
        </w:rPr>
        <w:t>B20: Dense rejection cluster. Contains two aim-statement potential rejections, one factive indicate rejection, and one confirmed suggesting hedge, testing whether rejection logic holds under volume.</w:t>
      </w:r>
    </w:p>
    <w:p>
      <w:pPr>
        <w:spacing w:line="480" w:lineRule="auto" w:before="0" w:after="0"/>
        <w:jc w:val="both"/>
      </w:pPr>
      <w:r>
        <w:rPr>
          <w:rFonts w:ascii="Georgia" w:hAnsi="Georgia" w:eastAsia="Georgia"/>
          <w:b w:val="0"/>
          <w:i w:val="0"/>
          <w:sz w:val="22"/>
        </w:rPr>
        <w:t>VM3: Veterinary Medicine zero-hedge abstract. VM's 65% zero-hedge rate is load-bearing for the assertive reporting profile. A second look that turns up a missed hedge would be the finding most worth catching before defense.</w:t>
      </w:r>
    </w:p>
    <w:p>
      <w:pPr>
        <w:keepNext/>
        <w:keepLines/>
        <w:spacing w:before="240" w:after="240" w:line="480" w:lineRule="auto"/>
        <w:jc w:val="left"/>
      </w:pPr>
      <w:r>
        <w:rPr>
          <w:rFonts w:ascii="Georgia" w:hAnsi="Georgia" w:eastAsia="Georgia"/>
          <w:b w:val="0"/>
          <w:i/>
          <w:sz w:val="24"/>
        </w:rPr>
        <w:t>Coded Abstracts</w:t>
      </w:r>
    </w:p>
    <w:p>
      <w:pPr>
        <w:spacing w:line="480" w:lineRule="auto" w:before="0" w:after="0"/>
        <w:ind w:firstLine="720"/>
        <w:jc w:val="both"/>
      </w:pPr>
      <w:r>
        <w:rPr>
          <w:rFonts w:ascii="Georgia" w:hAnsi="Georgia" w:eastAsia="Georgia"/>
          <w:b w:val="0"/>
          <w:i w:val="0"/>
          <w:sz w:val="22"/>
        </w:rPr>
        <w:t>The 6 abstracts are presented below with all coding marks applied per the revised codebook. The raw uncoded text is available separately as 009_2ndRawCorpus.docx for independent second coding using the revised codebook.</w:t>
      </w:r>
    </w:p>
    <w:p>
      <w:pPr>
        <w:spacing w:before="240" w:after="120" w:line="480" w:lineRule="auto"/>
        <w:jc w:val="left"/>
      </w:pPr>
      <w:r>
        <w:rPr>
          <w:rFonts w:ascii="Georgia" w:hAnsi="Georgia" w:eastAsia="Georgia"/>
          <w:b/>
          <w:i w:val="0"/>
          <w:sz w:val="24"/>
        </w:rPr>
        <w:t>B18  ·  286 words  ·  1 hedges  ·  0.35 per 100 words</w:t>
      </w:r>
    </w:p>
    <w:p>
      <w:pPr>
        <w:spacing w:line="480" w:lineRule="auto"/>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240" w:after="120" w:line="480" w:lineRule="auto"/>
        <w:jc w:val="left"/>
      </w:pPr>
      <w:r>
        <w:rPr>
          <w:rFonts w:ascii="Georgia" w:hAnsi="Georgia" w:eastAsia="Georgia"/>
          <w:b/>
          <w:i w:val="0"/>
          <w:sz w:val="24"/>
        </w:rPr>
        <w:t>Acs1  ·  203 words  ·  1 hedges  ·  0.49 per 100 words</w:t>
      </w:r>
    </w:p>
    <w:p>
      <w:pPr>
        <w:spacing w:line="480" w:lineRule="auto"/>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240" w:after="120" w:line="480" w:lineRule="auto"/>
        <w:jc w:val="left"/>
      </w:pPr>
      <w:r>
        <w:rPr>
          <w:rFonts w:ascii="Georgia" w:hAnsi="Georgia" w:eastAsia="Georgia"/>
          <w:b/>
          <w:i w:val="0"/>
          <w:sz w:val="24"/>
        </w:rPr>
        <w:t>Aas8  ·  186 words  ·  0 hedges  ·  0.0 per 100 words</w:t>
      </w:r>
    </w:p>
    <w:p>
      <w:pPr>
        <w:spacing w:line="480" w:lineRule="auto"/>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240" w:after="120" w:line="480" w:lineRule="auto"/>
        <w:jc w:val="left"/>
      </w:pPr>
      <w:r>
        <w:rPr>
          <w:rFonts w:ascii="Georgia" w:hAnsi="Georgia" w:eastAsia="Georgia"/>
          <w:b/>
          <w:i w:val="0"/>
          <w:sz w:val="24"/>
        </w:rPr>
        <w:t>B1  ·  258 words  ·  2 hedges  ·  0.78 per 100 words</w:t>
      </w:r>
    </w:p>
    <w:p>
      <w:pPr>
        <w:spacing w:line="480" w:lineRule="auto"/>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240" w:after="120" w:line="480" w:lineRule="auto"/>
        <w:jc w:val="left"/>
      </w:pPr>
      <w:r>
        <w:rPr>
          <w:rFonts w:ascii="Georgia" w:hAnsi="Georgia" w:eastAsia="Georgia"/>
          <w:b/>
          <w:i w:val="0"/>
          <w:sz w:val="24"/>
        </w:rPr>
        <w:t>B20  ·  223 words  ·  1 hedges  ·  0.45 per 100 words</w:t>
      </w:r>
    </w:p>
    <w:p>
      <w:pPr>
        <w:spacing w:line="480" w:lineRule="auto"/>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240" w:after="120" w:line="480" w:lineRule="auto"/>
        <w:jc w:val="left"/>
      </w:pPr>
      <w:r>
        <w:rPr>
          <w:rFonts w:ascii="Georgia" w:hAnsi="Georgia" w:eastAsia="Georgia"/>
          <w:b/>
          <w:i w:val="0"/>
          <w:sz w:val="24"/>
        </w:rPr>
        <w:t>VM3  ·  296 words  ·  0 hedges  ·  0.0 per 100 words</w:t>
      </w:r>
    </w:p>
    <w:p>
      <w:pPr>
        <w:spacing w:line="480" w:lineRule="auto"/>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