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A closer examination of the lexical hedge category reveals that the token “potential” accounted for 14 of the 36 lexical instances (38.9%), making it the single most frequent hedge token in the corpus. Other frequent lexical hedges included “suggests” (7 instances), “indicating” (6 instances), and “suggesting” (3 instances). The modal verb category was led by “can” (9 instances, primarily in inferential constructions such as “can be stated” and “can be derived”), followed by “could” (7) and “may” (6). The dominance of “potential” as a lexical hedge is noteworthy because it reflects a specific rhetorical move: qualifying implications rather than directly hedging results. Writers used “potential” to frame their findings as having possible applications, as in “the potential of B. subtilis as a sustainable solution.” This is a softer claim than “B. subtilis is a sustainable solution,” but it stops short of the more direct tentativeness that “may” or “might” would provide. The high frequency of “potential” may also suggest that it functions as a learned formula rather than an epistemically motivated choice, since it appears in nearly identical syntactic positions across multiple abstracts and disciplines. The concordance analysis of all 14 “potential” hedge instances reveals a recurring phraseological pattern: “the potential of X as a Y” (e.g., “the potential of B. subtilis as a sustainable solution”), “has potential as an X” (e.g., “has potential as an alternative feed ration”), and “highlight their potential as X” (e.g., “highlight their potential as effective, low-cost biofertilizers”). This recurring n-gram frame supports the interpretation that “potential” functions partly as a learned formula rather than a fully epistemic choice, as it appears in nearly identical syntactic positions across multiple abstracts and disciplines. Agriculture and Biology account for 11 of the 14 “potential” instances, while Veterinary Medicine accounts for only 3, reflecting the practical-orientation difference between these fields.</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6.02, p = .049, suggesting a possible difference in the distribution of hedge counts across disciplines. Given the small sample size and zero-inflated distribution, this result should be treated as preliminary rather than as strong evidence of disciplinary differences.</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 xml:space="preserve">All 60 retained hedges were coded as Epistemic Caution. No politeness or discourse-organization functions appear. The uniform assignment may reflect a restricted repertoire, the compressed abstract genre, the coding scheme, or single-rater interpretation; the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The frequency and functional patterns identified in Parts I through III reveal three observable patterns within this corpus. Given the small sample (n = 20 per discipline) and the borderline statistical support (Kruskal-Wallis p = .049; chi-square on zero-hedge distribution p = .13, which does not reach the conventional threshold of p &lt; .05), these patterns are exploratory observations rather than established typologies. The labels below describe what was observed in this corpus; they should not be read as stable discipline-level characteristics. Generalization beyond this corpus and beyond the three observed disciplines is not warranted. The patterns are interpreted through the lens of Salager-Meyer's (1994) claim-responsibility framework and Hyland's (2005) stance model.</w:t>
      </w:r>
    </w:p>
    <w:p>
      <w:pPr>
        <w:spacing w:line="480" w:lineRule="auto" w:before="0" w:after="0"/>
        <w:ind w:firstLine="720"/>
        <w:jc w:val="both"/>
      </w:pPr>
      <w:r>
        <w:t>Agriculture: An observed pattern suggestive of cautious implication, though outlier-dependent. Agriculture's hedge density (0.60 per 100 words) is partly driven by a single outlier abstract (Acs2, which alone contained 8 hedges). Without Acs2, Agriculture drops below Biology (0.44 vs. 0.55 per 100 words), making the Agriculture-Biology contrast marginal and not robust. The Agriculture-Biology difference is therefore better characterized as marginal and outlier-driven than as a stable disciplinary pattern. Within this caveat, the balanced use of modal verbs (14) and lexical hedges (12) in the observed data suggests a tendency toward cautious implication in this corpus. Agricultural writers in this corpus frequently hedged their implications rather than their direct results. The token “potential” appeared 4 times, and “suggests” appeared 4 times, both typically in conclusion sentences where writers drew out the practical significance of their findings. This pattern reflects what Salager-Meyer (1994) describes as distributed claim responsibility: the writer presents the finding as settled (e.g., “results showed no significant difference”) but hedges the implication (e.g., “this suggests that Trichoderma and fermented azolla at proper application frequencies could be beneficial”). The finding is stated with certainty, while the application is hedged. This may reflect the practical orientation of agricultural research, where findings have direct implications for farming practices and economic outcomes.</w:t>
      </w:r>
    </w:p>
    <w:p>
      <w:pPr>
        <w:spacing w:line="480" w:lineRule="auto" w:before="0" w:after="0"/>
        <w:ind w:firstLine="720"/>
        <w:jc w:val="both"/>
      </w:pPr>
      <w:r>
        <w:rPr>
          <w:rFonts w:ascii="Georgia" w:hAnsi="Georgia" w:eastAsia="Georgia"/>
          <w:b w:val="0"/>
          <w:i w:val="0"/>
          <w:sz w:val="22"/>
        </w:rPr>
        <w:t>Biology: A pattern suggestive of lexical caution with topic-naming. Biology’s moderate density (0.55) is driven almost entirely by lexical hedges (17 of 25 hedges, 68.0%), with only 5 modal verbs. The dominance of “potential” (7 instances) and “indicating” (3 instances) as the top tokens suggests that Biology writers hedge at the level of implication rather than at the level of finding. The high false positive count (35) in Biology reflects the frequent use of “potential” in aim statements, as in “this study aimed to identify the histoprotective potential of Balakat extract”, where the word names a research topic rather than qualifying a claim. This creates a paradox: Biology abstracts use hedge-like vocabulary frequently, but much of it is non-epistemic. The genuine epistemic caution is concentrated in conclusion sentences, where “suggesting” and “potential” qualify what the findings mean for future applications.</w:t>
      </w:r>
    </w:p>
    <w:p>
      <w:pPr>
        <w:spacing w:line="480" w:lineRule="auto" w:before="0" w:after="0"/>
        <w:ind w:firstLine="720"/>
        <w:jc w:val="both"/>
      </w:pPr>
      <w:r>
        <w:rPr>
          <w:rFonts w:ascii="Georgia" w:hAnsi="Georgia" w:eastAsia="Georgia"/>
          <w:b w:val="0"/>
          <w:i w:val="0"/>
          <w:sz w:val="22"/>
        </w:rPr>
        <w:t>Veterinary Medicine: A pattern suggestive of assertive reporting. Veterinary Medicine’s extremely low density (0.18) and high zero-hedge rate (65% of abstracts) suggest a pattern of assertive reporting. VM abstracts in this corpus predominantly used factive verbs (showed, revealed, demonstrated, confirmed) without qualification. The 15 unhedged assertion sites in VM abstracts (the highest among the three disciplines) further indicate that VM writers state their findings as settled facts rather than as tentative conclusions. This pattern may reflect the nature of VM research. One plausible explanation is that VM research often involves diagnostic testing and clinical outcomes that produce binary results. When a test shows “no positive results were observed,” there is little epistemic space for hedging. This is consistent with Salager-Meyer’s (1994) claim-responsibility framework: when the evidence is binary, the epistemic responsibility is lower, and hedging becomes less necessary. The competing explanation, that VM developing researchers simply lack awareness of hedging conventions, cannot be ruled out. However, the fact that VM abstracts also produce the highest count of unhedged assertion sites (15) suggests a systematic pattern of categorical reporting rather than random omission.</w:t>
      </w:r>
    </w:p>
    <w:p>
      <w:pPr>
        <w:spacing w:line="480" w:lineRule="auto" w:before="0" w:after="0"/>
        <w:ind w:firstLine="720"/>
        <w:jc w:val="both"/>
      </w:pPr>
      <w:r>
        <w:rPr>
          <w:rFonts w:ascii="Georgia" w:hAnsi="Georgia" w:eastAsia="Georgia"/>
          <w:b w:val="0"/>
          <w:i w:val="0"/>
          <w:sz w:val="22"/>
        </w:rPr>
        <w:t>Cross-disciplinary comparison reveals a pattern that does not map neatly onto the hard/soft science distinction. Agriculture, typically classified as an applied science, hedges more than Biology, a basic science. Veterinary Medicine, which is clinically applied, hedges least of all. This finding aligns with Salager-Meyer’s (1994) argument that hedging density depends on the specific epistemic demands of a field rather than on a single dimension of disciplinary hardness. The differing orientations toward evidence (agricultural field variability, biological laboratory control, and veterinary clinical outcomes) may create distinct epistemic demands that shape how writers manage claim responsibility, even at the undergraduate level. The most robust disciplinary finding in this corpus is the Veterinary Medicine distinction: its 65% zero-hedge rate and 0.18 density are substantially different from both Agriculture and Biology, while the Agriculture-Biology difference is marginal and partly outlier-driven.</w:t>
      </w:r>
    </w:p>
    <w:p>
      <w:pPr>
        <w:spacing w:line="480" w:lineRule="auto" w:before="0" w:after="0"/>
        <w:ind w:firstLine="720"/>
        <w:jc w:val="both"/>
      </w:pPr>
      <w:r>
        <w:rPr>
          <w:rFonts w:ascii="Georgia" w:hAnsi="Georgia" w:eastAsia="Georgia"/>
          <w:b w:val="0"/>
          <w:i w:val="0"/>
          <w:sz w:val="22"/>
        </w:rPr>
        <w:t>An informal review of the 60 hedge tokens suggests that the majority are concentrated in implication and conclusion sentences rather than in direct results reporting. Tokens such as “potential” (14 instances) and “suggests/suggesting” (10 instances) predominantly appear in sentences that frame what findings mean for future applications, while direct result sentences more commonly use factive verbs (showed, revealed, demonstrated) without qualification. This pattern is most pronounced in Agriculture, where hedges cluster in the implication move, and least pronounced in Veterinary Medicine, where both results and implications are stated categorically. A formal move-structured analysis would be needed to quantify this distribution precisely, but the qualitative pattern supports the interpretation that developing researchers hedge the implications of their findings while reporting the findings themselves as settled fact.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 xml:space="preserve">Three observations support a descriptive label of pro forma hedging, not a confirmed construct: (1) potential accounts for 38.9% of lexical hedges and recurs in near-identical frames; (2) all retained hedges serve a single function; (3) 46.7% of abstracts contain no hedges at all.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ectPr>
          <w:headerReference w:type="default" r:id="rId14"/>
          <w:headerReference w:type="first" r:id="rId15"/>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 xml:space="preserve">Lexical hedges outnumber modal verbs (60.0% vs 35.0%), inverting the modal-dominant pattern common in developing-researcher studies (Khunasathitchai et al., 2025; Wang, 2022), largely because of formulaic potential. Density is highest in Agriculture (0.60 per 100 words), then Biology (0.55), then Veterinary Medicine (0.18). Nearly half of abstracts contain no coded hedges; Veterinary Medicine alone accounts for a 65% zero-hedge rate. Every retained hedge serves Epistemic Caution.</w:t>
      </w:r>
    </w:p>
    <w:p>
      <w:pPr>
        <w:spacing w:line="480" w:lineRule="auto" w:before="0" w:after="0"/>
        <w:ind w:firstLine="720"/>
        <w:jc w:val="both"/>
      </w:pPr>
      <w:r>
        <w:rPr>
          <w:rFonts w:ascii="Georgia" w:hAnsi="Georgia" w:eastAsia="Georgia"/>
          <w:b w:val="0"/>
          <w:i w:val="0"/>
          <w:sz w:val="22"/>
        </w:rPr>
        <w:t xml:space="preserve">Disciplinary differentiation is present but uneven. Veterinary Medicine’s sparse, assertive profile is the clearest contrast. Agriculture’s edge over Biology is modest and sensitive to a single outlier. The patterns are consistent with field-specific epistemic demands (Salager-Meyer, 1994) operating even among developing writers, but statistical evidence is borderline (Kruskal-Wallis p = .049)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 xml:space="preserve">Thesis advisers at PSAU should treat hedging as a teachable, discipline-sensitive skill rather than a generic call to “be cautious.” Feedback is most needed where zero-hedge rates are highest (Veterinary Medicine in this sample). Instruction should distinguish topic-naming potential in aim statements from epistemic potential in conclusions, and should expand beyond modal verbs toward adverbial and clause-level options where the genre allows.</w:t>
      </w:r>
    </w:p>
    <w:p>
      <w:pPr>
        <w:spacing w:line="480" w:lineRule="auto" w:before="0" w:after="0"/>
        <w:ind w:firstLine="720"/>
        <w:jc w:val="both"/>
      </w:pPr>
      <w:r>
        <w:rPr>
          <w:rFonts w:ascii="Georgia" w:hAnsi="Georgia" w:eastAsia="Georgia"/>
          <w:b w:val="0"/>
          <w:i w:val="0"/>
          <w:sz w:val="22"/>
        </w:rPr>
        <w:t>Table 6 offers a provisional, data-informed checklist that advisers may use as a starting point during supervision. It maps the most frequent hedging patterns observed in this small corpus to possible revision focuses. Because the underlying counts are low and the statistical contrasts are borderline, the checklist should be treated as exploratory guidance rather than a firm diagnostic of each discipline.</w:t>
      </w:r>
    </w:p>
    <w:p>
      <w:pPr>
        <w:spacing w:before="240" w:after="0"/>
      </w:pPr>
      <w:r>
        <w:rPr>
          <w:rFonts w:ascii="Georgia" w:hAnsi="Georgia" w:eastAsia="Georgia"/>
          <w:b/>
          <w:i w:val="0"/>
          <w:sz w:val="22"/>
        </w:rPr>
        <w:t>Table 6</w:t>
      </w:r>
    </w:p>
    <w:p>
      <w:pPr>
        <w:spacing w:after="120"/>
      </w:pPr>
      <w:r>
        <w:rPr>
          <w:rFonts w:ascii="Georgia" w:hAnsi="Georgia" w:eastAsia="Georgia"/>
          <w:b w:val="0"/>
          <w:i/>
          <w:sz w:val="22"/>
        </w:rPr>
        <w:t>Discipline-Specific Abstract Revision Checklist for Thesis Advisers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Discipline</w:t>
            </w:r>
          </w:p>
        </w:tc>
        <w:tc>
          <w:tcPr>
            <w:tcW w:type="dxa" w:w="2769"/>
          </w:tcPr>
          <w:p>
            <w:r/>
            <w:r>
              <w:rPr>
                <w:rFonts w:ascii="Georgia" w:hAnsi="Georgia" w:eastAsia="Georgia"/>
                <w:b/>
                <w:i w:val="0"/>
                <w:sz w:val="20"/>
              </w:rPr>
              <w:t>Observed Pattern</w:t>
            </w:r>
          </w:p>
        </w:tc>
        <w:tc>
          <w:tcPr>
            <w:tcW w:type="dxa" w:w="2769"/>
          </w:tcPr>
          <w:p>
            <w:r/>
            <w:r>
              <w:rPr>
                <w:rFonts w:ascii="Georgia" w:hAnsi="Georgia" w:eastAsia="Georgia"/>
                <w:b/>
                <w:i w:val="0"/>
                <w:sz w:val="20"/>
              </w:rPr>
              <w:t>Possible Focus</w:t>
            </w:r>
          </w:p>
        </w:tc>
      </w:tr>
      <w:tr>
        <w:tc>
          <w:tcPr>
            <w:tcW w:type="dxa" w:w="2769"/>
          </w:tcPr>
          <w:p>
            <w:r/>
            <w:r>
              <w:rPr>
                <w:rFonts w:ascii="Georgia" w:hAnsi="Georgia" w:eastAsia="Georgia"/>
                <w:b w:val="0"/>
                <w:i w:val="0"/>
                <w:sz w:val="20"/>
              </w:rPr>
              <w:t>Veterinary Medicine</w:t>
            </w:r>
          </w:p>
        </w:tc>
        <w:tc>
          <w:tcPr>
            <w:tcW w:type="dxa" w:w="2769"/>
          </w:tcPr>
          <w:p>
            <w:r/>
            <w:r>
              <w:rPr>
                <w:rFonts w:ascii="Georgia" w:hAnsi="Georgia" w:eastAsia="Georgia"/>
                <w:b w:val="0"/>
                <w:i w:val="0"/>
                <w:sz w:val="20"/>
              </w:rPr>
              <w:t>High zero-hedge rate (65% of abstracts in this sample)</w:t>
            </w:r>
          </w:p>
        </w:tc>
        <w:tc>
          <w:tcPr>
            <w:tcW w:type="dxa" w:w="2769"/>
          </w:tcPr>
          <w:p>
            <w:r/>
            <w:r>
              <w:rPr>
                <w:rFonts w:ascii="Georgia" w:hAnsi="Georgia" w:eastAsia="Georgia"/>
                <w:b w:val="0"/>
                <w:i w:val="0"/>
                <w:sz w:val="20"/>
              </w:rPr>
              <w:t>Insert 1–2 modal verbs (may, could) or lexical hedges (suggests, indicates) in the Implication move</w:t>
            </w:r>
          </w:p>
        </w:tc>
      </w:tr>
      <w:tr>
        <w:tc>
          <w:tcPr>
            <w:tcW w:type="dxa" w:w="2769"/>
          </w:tcPr>
          <w:p>
            <w:r/>
            <w:r>
              <w:rPr>
                <w:rFonts w:ascii="Georgia" w:hAnsi="Georgia" w:eastAsia="Georgia"/>
                <w:b w:val="0"/>
                <w:i w:val="0"/>
                <w:sz w:val="20"/>
              </w:rPr>
              <w:t>Biology</w:t>
            </w:r>
          </w:p>
        </w:tc>
        <w:tc>
          <w:tcPr>
            <w:tcW w:type="dxa" w:w="2769"/>
          </w:tcPr>
          <w:p>
            <w:r/>
            <w:r>
              <w:rPr>
                <w:rFonts w:ascii="Georgia" w:hAnsi="Georgia" w:eastAsia="Georgia"/>
                <w:b w:val="0"/>
                <w:i w:val="0"/>
                <w:sz w:val="20"/>
              </w:rPr>
              <w:t>Frequent topic-naming “potential” in aim statements</w:t>
            </w:r>
          </w:p>
        </w:tc>
        <w:tc>
          <w:tcPr>
            <w:tcW w:type="dxa" w:w="2769"/>
          </w:tcPr>
          <w:p>
            <w:r/>
            <w:r>
              <w:rPr>
                <w:rFonts w:ascii="Georgia" w:hAnsi="Georgia" w:eastAsia="Georgia"/>
                <w:b w:val="0"/>
                <w:i w:val="0"/>
                <w:sz w:val="20"/>
              </w:rPr>
              <w:t>Distinguish aim-statement “potential” (topic-naming) from conclusion-statement “potential” (epistemic hedge)</w:t>
            </w:r>
          </w:p>
        </w:tc>
      </w:tr>
      <w:tr>
        <w:tc>
          <w:tcPr>
            <w:tcW w:type="dxa" w:w="2769"/>
          </w:tcPr>
          <w:p>
            <w:r/>
            <w:r>
              <w:rPr>
                <w:rFonts w:ascii="Georgia" w:hAnsi="Georgia" w:eastAsia="Georgia"/>
                <w:b w:val="0"/>
                <w:i w:val="0"/>
                <w:sz w:val="20"/>
              </w:rPr>
              <w:t>Agriculture</w:t>
            </w:r>
          </w:p>
        </w:tc>
        <w:tc>
          <w:tcPr>
            <w:tcW w:type="dxa" w:w="2769"/>
          </w:tcPr>
          <w:p>
            <w:r/>
            <w:r>
              <w:rPr>
                <w:rFonts w:ascii="Georgia" w:hAnsi="Georgia" w:eastAsia="Georgia"/>
                <w:b w:val="0"/>
                <w:i w:val="0"/>
                <w:sz w:val="20"/>
              </w:rPr>
              <w:t>Frequent “suggest” + “can” constructions</w:t>
            </w:r>
          </w:p>
        </w:tc>
        <w:tc>
          <w:tcPr>
            <w:tcW w:type="dxa" w:w="2769"/>
          </w:tcPr>
          <w:p>
            <w:r/>
            <w:r>
              <w:rPr>
                <w:rFonts w:ascii="Georgia" w:hAnsi="Georgia" w:eastAsia="Georgia"/>
                <w:b w:val="0"/>
                <w:i w:val="0"/>
                <w:sz w:val="20"/>
              </w:rPr>
              <w:t>Introduce adverbial hedges (generally, typically) and clause-level hedges (it appears that) for variety</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A: CODING KEY FOR HEDGE IDENTIFICATION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A coding key based on Hyland’s (1998) framework was developed to classify hedges by type and function. All coding is context-sensitive. Devices are classified based on their function in the sentence in which they appear, not on their presence in isolation.</w:t>
      </w:r>
    </w:p>
    <w:p>
      <w:pPr>
        <w:keepNext/>
        <w:keepLines/>
        <w:spacing w:before="240" w:after="240" w:line="480" w:lineRule="auto"/>
        <w:jc w:val="left"/>
      </w:pPr>
      <w:r>
        <w:rPr>
          <w:rFonts w:ascii="Georgia" w:hAnsi="Georgia" w:eastAsia="Georgia"/>
          <w:b w:val="0"/>
          <w:i/>
          <w:sz w:val="24"/>
        </w:rPr>
        <w:t>Hedge Types</w:t>
      </w:r>
    </w:p>
    <w:p>
      <w:pPr>
        <w:spacing w:line="480" w:lineRule="auto" w:before="0" w:after="0"/>
        <w:jc w:val="both"/>
      </w:pPr>
      <w:r>
        <w:rPr>
          <w:rFonts w:ascii="Georgia" w:hAnsi="Georgia" w:eastAsia="Georgia"/>
          <w:b w:val="0"/>
          <w:i w:val="0"/>
          <w:sz w:val="22"/>
        </w:rPr>
        <w:t>1. Modal Verbs: may, might, could, would, should, can</w:t>
      </w:r>
    </w:p>
    <w:p>
      <w:pPr>
        <w:spacing w:line="480" w:lineRule="auto" w:before="0" w:after="0"/>
        <w:jc w:val="both"/>
      </w:pPr>
      <w:r>
        <w:rPr>
          <w:rFonts w:ascii="Georgia" w:hAnsi="Georgia" w:eastAsia="Georgia"/>
          <w:b w:val="0"/>
          <w:i w:val="0"/>
          <w:sz w:val="22"/>
        </w:rPr>
        <w:t>2. Lexical Verbs and Adjectives: suggest, indicate, appear, seem, propose, assume, possible, probable, likely. Other epistemic adjectives (e.g., potential, conceivable, tentative) are also coded as lexical hedges if they qualify the certainty of a claim and pass the working test.</w:t>
      </w:r>
    </w:p>
    <w:p>
      <w:pPr>
        <w:spacing w:line="480" w:lineRule="auto" w:before="0" w:after="0"/>
        <w:jc w:val="both"/>
      </w:pPr>
      <w:r>
        <w:rPr>
          <w:rFonts w:ascii="Georgia" w:hAnsi="Georgia" w:eastAsia="Georgia"/>
          <w:b w:val="0"/>
          <w:i w:val="0"/>
          <w:sz w:val="22"/>
        </w:rPr>
        <w:t>3. Adverbial Hedges: generally, typically, possibly, probably, relatively, essentially</w:t>
      </w:r>
    </w:p>
    <w:p>
      <w:pPr>
        <w:spacing w:line="480" w:lineRule="auto" w:before="0" w:after="0"/>
        <w:jc w:val="both"/>
      </w:pPr>
      <w:r>
        <w:rPr>
          <w:rFonts w:ascii="Georgia" w:hAnsi="Georgia" w:eastAsia="Georgia"/>
          <w:b w:val="0"/>
          <w:i w:val="0"/>
          <w:sz w:val="22"/>
        </w:rPr>
        <w:t>4. Clause-Level Hedges: it seems that, it is possible that, to some extent, in our view</w:t>
      </w:r>
    </w:p>
    <w:p>
      <w:pPr>
        <w:keepNext/>
        <w:keepLines/>
        <w:spacing w:before="240" w:after="240" w:line="480" w:lineRule="auto"/>
        <w:jc w:val="left"/>
      </w:pPr>
      <w:r>
        <w:rPr>
          <w:rFonts w:ascii="Georgia" w:hAnsi="Georgia" w:eastAsia="Georgia"/>
          <w:b w:val="0"/>
          <w:i/>
          <w:sz w:val="24"/>
        </w:rPr>
        <w:t>Hedge Functions</w:t>
      </w:r>
    </w:p>
    <w:p>
      <w:pPr>
        <w:spacing w:line="480" w:lineRule="auto" w:before="0" w:after="0"/>
        <w:ind w:firstLine="720"/>
        <w:jc w:val="both"/>
      </w:pPr>
      <w:r>
        <w:rPr>
          <w:rFonts w:ascii="Georgia" w:hAnsi="Georgia" w:eastAsia="Georgia"/>
          <w:b/>
          <w:i w:val="0"/>
          <w:sz w:val="22"/>
        </w:rPr>
        <w:t xml:space="preserve">Epistemic Caution: </w:t>
      </w:r>
      <w:r>
        <w:rPr>
          <w:rFonts w:ascii="Georgia" w:hAnsi="Georgia" w:eastAsia="Georgia"/>
          <w:b w:val="0"/>
          <w:i w:val="0"/>
          <w:sz w:val="22"/>
        </w:rPr>
        <w:t>Expresses uncertainty about the truth or accuracy of a claim (e.g., The treatment may reduce infection rates).</w:t>
      </w:r>
    </w:p>
    <w:p>
      <w:pPr>
        <w:spacing w:line="480" w:lineRule="auto" w:before="0" w:after="0"/>
        <w:ind w:firstLine="720"/>
        <w:jc w:val="both"/>
      </w:pPr>
      <w:r>
        <w:rPr>
          <w:rFonts w:ascii="Georgia" w:hAnsi="Georgia" w:eastAsia="Georgia"/>
          <w:b/>
          <w:i w:val="0"/>
          <w:sz w:val="22"/>
        </w:rPr>
        <w:t xml:space="preserve">Politeness/Deference: </w:t>
      </w:r>
      <w:r>
        <w:rPr>
          <w:rFonts w:ascii="Georgia" w:hAnsi="Georgia" w:eastAsia="Georgia"/>
          <w:b w:val="0"/>
          <w:i w:val="0"/>
          <w:sz w:val="22"/>
        </w:rPr>
        <w:t>Shows respect toward readers or prior research rather than expressing genuine epistemic uncertainty (e.g., As suggested by Hyland (1998)...).</w:t>
      </w:r>
    </w:p>
    <w:p>
      <w:pPr>
        <w:spacing w:line="480" w:lineRule="auto" w:before="0" w:after="0"/>
        <w:ind w:firstLine="720"/>
        <w:jc w:val="both"/>
      </w:pPr>
      <w:r>
        <w:rPr>
          <w:rFonts w:ascii="Georgia" w:hAnsi="Georgia" w:eastAsia="Georgia"/>
          <w:b/>
          <w:i w:val="0"/>
          <w:sz w:val="22"/>
        </w:rPr>
        <w:t xml:space="preserve">Discourse Organization: </w:t>
      </w:r>
      <w:r>
        <w:rPr>
          <w:rFonts w:ascii="Georgia" w:hAnsi="Georgia" w:eastAsia="Georgia"/>
          <w:b w:val="0"/>
          <w:i w:val="0"/>
          <w:sz w:val="22"/>
        </w:rPr>
        <w:t>Manages text structure or guides reader expectations rather than expressing the writer’s epistemic stance (e.g., It should be noted that...).</w:t>
      </w:r>
    </w:p>
    <w:p>
      <w:pPr>
        <w:keepNext/>
        <w:keepLines/>
        <w:spacing w:before="240" w:after="240" w:line="480" w:lineRule="auto"/>
        <w:jc w:val="left"/>
      </w:pPr>
      <w:r>
        <w:rPr>
          <w:rFonts w:ascii="Georgia" w:hAnsi="Georgia" w:eastAsia="Georgia"/>
          <w:b w:val="0"/>
          <w:i/>
          <w:sz w:val="24"/>
        </w:rPr>
        <w:t>Decision Rules for Ambiguous Cases</w:t>
      </w:r>
    </w:p>
    <w:p>
      <w:pPr>
        <w:spacing w:line="480" w:lineRule="auto" w:before="0" w:after="0"/>
        <w:ind w:firstLine="720"/>
        <w:jc w:val="both"/>
      </w:pPr>
      <w:r>
        <w:rPr>
          <w:rFonts w:ascii="Georgia" w:hAnsi="Georgia" w:eastAsia="Georgia"/>
          <w:b/>
          <w:i w:val="0"/>
          <w:sz w:val="22"/>
        </w:rPr>
        <w:t xml:space="preserve">• Suggest / Indicate: </w:t>
      </w:r>
      <w:r>
        <w:rPr>
          <w:rFonts w:ascii="Georgia" w:hAnsi="Georgia" w:eastAsia="Georgia"/>
          <w:b w:val="0"/>
          <w:i w:val="0"/>
          <w:sz w:val="22"/>
        </w:rPr>
        <w:t>Coded as Hedge if introducing a finding or result (e.g., Data suggests a significant correlation). NOT coded as a hedge if introducing a recommendation (e.g., We suggest further research).</w:t>
      </w:r>
    </w:p>
    <w:p>
      <w:pPr>
        <w:spacing w:line="480" w:lineRule="auto" w:before="0" w:after="0"/>
        <w:ind w:firstLine="720"/>
        <w:jc w:val="both"/>
      </w:pPr>
      <w:r>
        <w:rPr>
          <w:rFonts w:ascii="Georgia" w:hAnsi="Georgia" w:eastAsia="Georgia"/>
          <w:b/>
          <w:i w:val="0"/>
          <w:sz w:val="22"/>
        </w:rPr>
        <w:t xml:space="preserve">• Can / May: </w:t>
      </w:r>
      <w:r>
        <w:rPr>
          <w:rFonts w:ascii="Georgia" w:hAnsi="Georgia" w:eastAsia="Georgia"/>
          <w:b w:val="0"/>
          <w:i w:val="0"/>
          <w:sz w:val="22"/>
        </w:rPr>
        <w:t>Coded as Hedge if expressing possibility or uncertainty (e.g., This may indicate disease resistance). NOT coded if expressing capability (e.g., PCR can detect low concentrations).</w:t>
      </w:r>
    </w:p>
    <w:p>
      <w:pPr>
        <w:spacing w:line="480" w:lineRule="auto" w:before="0" w:after="0"/>
        <w:ind w:firstLine="720"/>
        <w:jc w:val="both"/>
      </w:pPr>
      <w:r>
        <w:rPr>
          <w:rFonts w:ascii="Georgia" w:hAnsi="Georgia" w:eastAsia="Georgia"/>
          <w:b/>
          <w:i w:val="0"/>
          <w:sz w:val="22"/>
        </w:rPr>
        <w:t xml:space="preserve">• Generally / Typically: </w:t>
      </w:r>
      <w:r>
        <w:rPr>
          <w:rFonts w:ascii="Georgia" w:hAnsi="Georgia" w:eastAsia="Georgia"/>
          <w:b w:val="0"/>
          <w:i w:val="0"/>
          <w:sz w:val="22"/>
        </w:rPr>
        <w:t>Coded as Hedge if qualifying the scope of a claim (e.g., Plants generally respond to drought by...). NOT coded if describing a procedural norm (e.g., Samples were generally stored at 4°C).</w:t>
      </w:r>
    </w:p>
    <w:p>
      <w:pPr>
        <w:spacing w:line="480" w:lineRule="auto" w:before="0" w:after="0"/>
        <w:ind w:firstLine="720"/>
        <w:jc w:val="both"/>
      </w:pPr>
      <w:r>
        <w:rPr>
          <w:rFonts w:ascii="Georgia" w:hAnsi="Georgia" w:eastAsia="Georgia"/>
          <w:b/>
          <w:i w:val="0"/>
          <w:sz w:val="22"/>
        </w:rPr>
        <w:t xml:space="preserve">• Appear / Seem: </w:t>
      </w:r>
      <w:r>
        <w:rPr>
          <w:rFonts w:ascii="Georgia" w:hAnsi="Georgia" w:eastAsia="Georgia"/>
          <w:b w:val="0"/>
          <w:i w:val="0"/>
          <w:sz w:val="22"/>
        </w:rPr>
        <w:t>Coded as Hedge if expressing uncertainty about a result (e.g., The pathogen appears to be host-specific). NOT coded if indicating physical or textual location (e.g., The results appear in Table 1).</w:t>
      </w:r>
    </w:p>
    <w:p>
      <w:pPr>
        <w:keepNext/>
        <w:keepLines/>
        <w:spacing w:before="240" w:after="240" w:line="480" w:lineRule="auto"/>
        <w:jc w:val="left"/>
      </w:pPr>
      <w:r>
        <w:rPr>
          <w:rFonts w:ascii="Georgia" w:hAnsi="Georgia" w:eastAsia="Georgia"/>
          <w:b w:val="0"/>
          <w:i/>
          <w:sz w:val="24"/>
        </w:rPr>
        <w:t>Exclusion Rules</w:t>
      </w:r>
    </w:p>
    <w:p>
      <w:pPr>
        <w:spacing w:line="480" w:lineRule="auto" w:before="0" w:after="0"/>
        <w:ind w:firstLine="720"/>
        <w:jc w:val="both"/>
      </w:pPr>
      <w:r>
        <w:rPr>
          <w:rFonts w:ascii="Georgia" w:hAnsi="Georgia" w:eastAsia="Georgia"/>
          <w:b w:val="0"/>
          <w:i w:val="0"/>
          <w:sz w:val="22"/>
        </w:rPr>
        <w:t>Words expressing ability (can = the method is capable of), future procedure (will = the study will do X), or necessity (must, should in procedural contexts) are not coded as hedges. Working test: if removing the device does not change the epistemic weight of the claim, it is not functioning as a hedge.</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pageBreakBefore/>
        <w:spacing w:before="0" w:after="0" w:line="480" w:lineRule="auto"/>
        <w:jc w:val="center"/>
      </w:pPr>
      <w:r>
        <w:rPr>
          <w:rFonts w:ascii="Georgia" w:hAnsi="Georgia" w:eastAsia="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coding results of four abstracts analyzed during the pilot testing phase. Each abstract is presented followed by its coding summary to demonstrate the application of the coding key and decision rules.</w:t>
      </w:r>
    </w:p>
    <w:p>
      <w:pPr>
        <w:keepNext/>
        <w:keepLines/>
        <w:spacing w:before="240" w:after="240" w:line="480" w:lineRule="auto"/>
        <w:jc w:val="left"/>
      </w:pPr>
      <w:r>
        <w:rPr>
          <w:rFonts w:ascii="Georgia" w:hAnsi="Georgia" w:eastAsia="Georgia"/>
          <w:b w:val="0"/>
          <w:i/>
          <w:sz w:val="24"/>
        </w:rPr>
        <w:t>Sample 1: Biology</w:t>
      </w:r>
    </w:p>
    <w:p>
      <w:pPr>
        <w:spacing w:line="480" w:lineRule="auto" w:before="0" w:after="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480" w:lineRule="auto" w:before="0" w:after="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t>General Observation from Pilot Testing</w:t>
      </w:r>
    </w:p>
    <w:p>
      <w:pPr>
        <w:spacing w:line="480" w:lineRule="auto" w:before="0" w:after="0"/>
        <w:ind w:firstLine="720"/>
        <w:jc w:val="both"/>
      </w:pPr>
      <w:r>
        <w:rPr>
          <w:rFonts w:ascii="Georgia" w:hAnsi="Georgia" w:eastAsia="Georgia"/>
          <w:b w:val="0"/>
          <w:i w:val="0"/>
          <w:sz w:val="22"/>
        </w:rPr>
        <w:t>The pilot analysis revealed a high frequency of zero-hedge abstracts (3 out of 4). This pattern suggests that developing researchers may either lack awareness of hedging conventions or interpret the abstract genre as a space for factual reporting rather than claim management. This observation confirms the need for a descriptive baseline study.</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C: HEDGING CODEBOOK</w:t>
      </w:r>
    </w:p>
    <w:p>
      <w:pPr>
        <w:spacing w:before="0" w:after="0" w:line="240" w:lineRule="auto"/>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PURPOSE</w:t>
      </w:r>
    </w:p>
    <w:p>
      <w:pPr>
        <w:spacing w:line="480" w:lineRule="auto" w:before="0" w:after="0"/>
        <w:ind w:firstLine="720"/>
        <w:jc w:val="both"/>
      </w:pPr>
      <w:r>
        <w:rPr>
          <w:rFonts w:ascii="Georgia" w:hAnsi="Georgia" w:eastAsia="Georgia"/>
          <w:b w:val="0"/>
          <w:i w:val="0"/>
          <w:sz w:val="22"/>
        </w:rPr>
        <w:t>This codebook operationalizes Hyland’s (1998) hedging framework for coding the PSAU thesis abstract corpus. All colors are background highlights, applied by hand or digital highlighter directly on printed or PDF copies. They are not font colors and are not tied to any software. The highlighted hard copies are the primary coding record; any spreadsheet is a derived tally, not the source of truth.</w:t>
      </w:r>
    </w:p>
    <w:p>
      <w:pPr>
        <w:keepNext/>
        <w:keepLines/>
        <w:spacing w:before="240" w:after="240" w:line="480" w:lineRule="auto"/>
        <w:jc w:val="left"/>
      </w:pPr>
      <w:r>
        <w:rPr>
          <w:rFonts w:ascii="Georgia" w:hAnsi="Georgia" w:eastAsia="Georgia"/>
          <w:b/>
          <w:i w:val="0"/>
          <w:sz w:val="24"/>
        </w:rPr>
        <w:t>WORKING TEST</w:t>
      </w:r>
    </w:p>
    <w:p>
      <w:pPr>
        <w:spacing w:line="480" w:lineRule="auto" w:before="0" w:after="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480" w:lineRule="auto" w:before="0" w:after="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480" w:lineRule="auto" w:before="0" w:after="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480" w:lineRule="auto" w:before="0" w:after="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40" w:after="240" w:line="480" w:lineRule="auto"/>
        <w:jc w:val="left"/>
      </w:pPr>
      <w:r>
        <w:rPr>
          <w:rFonts w:ascii="Georgia" w:hAnsi="Georgia" w:eastAsia="Georgia"/>
          <w:b/>
          <w:i w:val="0"/>
          <w:sz w:val="24"/>
        </w:rPr>
        <w:t>LAYER 1: HEDGE TYPE (PRIMARY COLORS)</w:t>
      </w:r>
    </w:p>
    <w:p>
      <w:pPr>
        <w:spacing w:line="480" w:lineRule="auto" w:before="0" w:after="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480" w:lineRule="auto"/>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40" w:after="240" w:line="480" w:lineRule="auto"/>
        <w:jc w:val="left"/>
      </w:pPr>
      <w:r>
        <w:rPr>
          <w:rFonts w:ascii="Georgia" w:hAnsi="Georgia" w:eastAsia="Georgia"/>
          <w:b/>
          <w:i w:val="0"/>
          <w:sz w:val="24"/>
        </w:rPr>
        <w:t>LAYER 2: HEDGE FUNCTION (COLORED TEXT LABELS)</w:t>
      </w:r>
    </w:p>
    <w:p>
      <w:pPr>
        <w:spacing w:line="480" w:lineRule="auto" w:before="0" w:after="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40" w:after="240" w:line="480" w:lineRule="auto"/>
        <w:jc w:val="left"/>
      </w:pPr>
      <w:r>
        <w:rPr>
          <w:rFonts w:ascii="Georgia" w:hAnsi="Georgia" w:eastAsia="Georgia"/>
          <w:b/>
          <w:i w:val="0"/>
          <w:sz w:val="24"/>
        </w:rPr>
        <w:t>DECISION RULES FOR AMBIGUOUS CASES</w:t>
      </w:r>
    </w:p>
    <w:p>
      <w:pPr>
        <w:spacing w:line="480" w:lineRule="auto" w:before="0" w:after="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480" w:lineRule="auto"/>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40" w:after="240" w:line="480" w:lineRule="auto"/>
        <w:jc w:val="left"/>
      </w:pPr>
      <w:r>
        <w:rPr>
          <w:rFonts w:ascii="Georgia" w:hAnsi="Georgia" w:eastAsia="Georgia"/>
          <w:b/>
          <w:i w:val="0"/>
          <w:sz w:val="24"/>
        </w:rPr>
        <w:t>MARKING FALSE POSITIVES</w:t>
      </w:r>
    </w:p>
    <w:p>
      <w:pPr>
        <w:spacing w:line="480" w:lineRule="auto" w:before="0" w:after="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40" w:after="240" w:line="480" w:lineRule="auto"/>
        <w:jc w:val="left"/>
      </w:pPr>
      <w:r>
        <w:rPr>
          <w:rFonts w:ascii="Georgia" w:hAnsi="Georgia" w:eastAsia="Georgia"/>
          <w:b/>
          <w:i w:val="0"/>
          <w:sz w:val="24"/>
        </w:rPr>
        <w:t>LAYER 3 (OPTIONAL): UNHEDGED ASSERTION SITES (NEUTRAL GREY)</w:t>
      </w:r>
    </w:p>
    <w:p>
      <w:pPr>
        <w:spacing w:line="480" w:lineRule="auto" w:before="0" w:after="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40" w:after="240" w:line="480" w:lineRule="auto"/>
        <w:jc w:val="left"/>
      </w:pPr>
      <w:r>
        <w:rPr>
          <w:rFonts w:ascii="Georgia" w:hAnsi="Georgia" w:eastAsia="Georgia"/>
          <w:b/>
          <w:i w:val="0"/>
          <w:sz w:val="24"/>
        </w:rPr>
        <w:t>QUICK-REFERENCE LEGEND</w:t>
      </w:r>
    </w:p>
    <w:p>
      <w:pPr>
        <w:spacing w:line="480" w:lineRule="auto" w:before="0" w:after="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40" w:after="240" w:line="480" w:lineRule="auto"/>
        <w:jc w:val="left"/>
      </w:pPr>
      <w:r>
        <w:rPr>
          <w:rFonts w:ascii="Georgia" w:hAnsi="Georgia" w:eastAsia="Georgia"/>
          <w:b/>
          <w:i w:val="0"/>
          <w:sz w:val="24"/>
        </w:rPr>
        <w:t>COMBINED EXAMPLE</w:t>
      </w:r>
    </w:p>
    <w:p>
      <w:pPr>
        <w:spacing w:line="480" w:lineRule="auto" w:before="0" w:after="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480" w:lineRule="auto" w:before="0" w:after="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40" w:after="240" w:line="480" w:lineRule="auto"/>
        <w:jc w:val="left"/>
      </w:pPr>
      <w:r>
        <w:rPr>
          <w:rFonts w:ascii="Georgia" w:hAnsi="Georgia" w:eastAsia="Georgia"/>
          <w:b/>
          <w:i w:val="0"/>
          <w:sz w:val="24"/>
        </w:rPr>
        <w:t>CODING SHEET COLUMNS</w:t>
      </w:r>
    </w:p>
    <w:p>
      <w:pPr>
        <w:spacing w:line="480" w:lineRule="auto" w:before="0" w:after="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480" w:lineRule="auto"/>
        <w:ind w:firstLine="720"/>
        <w:jc w:val="both"/>
      </w:pPr>
      <w:r>
        <w:rPr>
          <w:rFonts w:ascii="Georgia" w:hAnsi="Georgia" w:eastAsia="Georgia"/>
          <w:b w:val="0"/>
          <w:i/>
          <w:color w:val="000000"/>
          <w:sz w:val="22"/>
        </w:rPr>
        <w:t>Layer 3 data, tracked separately so it never inflates RQ2 counts.</w:t>
      </w:r>
    </w:p>
    <w:p>
      <w:pPr>
        <w:keepNext/>
        <w:keepLines/>
        <w:spacing w:before="240" w:after="240" w:line="48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240" w:after="240" w:line="480" w:lineRule="auto"/>
        <w:jc w:val="left"/>
      </w:pPr>
      <w:r>
        <w:rPr>
          <w:rFonts w:ascii="Georgia" w:hAnsi="Georgia" w:eastAsia="Georgia"/>
          <w:b w:val="0"/>
          <w:i/>
          <w:sz w:val="24"/>
        </w:rPr>
        <w:t>Optional Tab: Rejected Hedge Candidates</w:t>
      </w:r>
    </w:p>
    <w:p>
      <w:pPr>
        <w:spacing w:line="480" w:lineRule="auto" w:before="0" w:after="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ectPr>
          <w:headerReference w:type="default" r:id="rId22"/>
          <w:headerReference w:type="first" r:id="rId23"/>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D: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