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eastAsia="Georgia"/>
          <w:b w:val="0"/>
          <w:i w:val="0"/>
          <w:sz w:val="22"/>
        </w:rPr>
        <w:t>This section presents the results, analysis, and discussion of the rhetorical appeals and directive subtypes identified in the call-to-action (CTA) phrases of Facebook skincare advertisement captions. The chapter is organized into three parts, each corresponding to a research question. Within each part, the findings from the data are presented first, followed by a discussion that relates those findings to related studies.</w:t>
      </w:r>
    </w:p>
    <w:p>
      <w:pPr>
        <w:spacing w:line="480" w:lineRule="auto" w:before="240" w:after="0"/>
        <w:ind w:firstLine="0"/>
        <w:jc w:val="both"/>
      </w:pPr>
      <w:r>
        <w:rPr>
          <w:rFonts w:ascii="Georgia" w:hAnsi="Georgia" w:eastAsia="Georgia"/>
          <w:b/>
          <w:i w:val="0"/>
          <w:sz w:val="24"/>
        </w:rPr>
        <w:t>Part I. Rhetorical Appeals Used in the CTA Phrases</w:t>
      </w:r>
    </w:p>
    <w:p>
      <w:pPr>
        <w:spacing w:line="480" w:lineRule="auto" w:before="200" w:after="0"/>
        <w:ind w:firstLine="0"/>
        <w:jc w:val="both"/>
      </w:pPr>
      <w:r>
        <w:rPr>
          <w:rFonts w:ascii="Georgia" w:hAnsi="Georgia" w:eastAsia="Georgia"/>
          <w:b/>
          <w:i w:val="0"/>
          <w:sz w:val="22"/>
        </w:rPr>
        <w:t>Findings</w:t>
      </w:r>
    </w:p>
    <w:p>
      <w:pPr>
        <w:spacing w:line="480" w:lineRule="auto" w:before="0" w:after="0"/>
        <w:ind w:firstLine="720"/>
        <w:jc w:val="both"/>
      </w:pPr>
      <w:r>
        <w:rPr>
          <w:rFonts w:ascii="Georgia" w:hAnsi="Georgia" w:cs="Georgia"/>
        </w:rPr>
        <w:t xml:space="preserve">The coding identified three rhetorical appeals across the 34 call-to-action (CTA) phrases from the selected Facebook skincare advertisement captions. </w:t>
      </w:r>
      <w:r>
        <w:rPr>
          <w:rFonts w:ascii="Georgia" w:hAnsi="Georgia" w:cs="Georgia"/>
          <w:highlight w:val="yellow"/>
        </w:rPr>
        <w:t xml:space="preserve">These appeals were classified as logos, pathos, and ethos based on Aristotle’s rhetorical framework (Rapp, 2022). </w:t>
      </w:r>
      <w:r>
        <w:rPr>
          <w:rFonts w:ascii="Georgia" w:hAnsi="Georgia" w:cs="Georgia"/>
        </w:rPr>
        <w:t xml:space="preserve">In identifying the dominant rhetorical appeal, the full advertisement caption was examined to determine the textual elements that indicated the appeal, while the CTA phrase served as the primary unit of analysis. </w:t>
      </w:r>
      <w:r>
        <w:rPr>
          <w:rFonts w:ascii="Georgia" w:hAnsi="Georgia" w:cs="Georgia"/>
        </w:rPr>
        <w:t>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Rhetorical Appeal</w:t>
            </w:r>
          </w:p>
        </w:tc>
        <w:tc>
          <w:tcPr>
            <w:tcW w:type="dxa" w:w="2160"/>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32.35%</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spacing w:line="480" w:lineRule="auto" w:before="0" w:after="0"/>
        <w:ind w:firstLine="720"/>
        <w:jc w:val="both"/>
      </w:pPr>
      <w:r>
        <w:rPr>
          <w:rFonts w:ascii="Georgia" w:hAnsi="Georgia" w:cs="Georgia"/>
        </w:rPr>
        <w:t xml:space="preserve">A closer examination of logos across the five selected skincare brands showed that The Ordinary had the highest frequency, with seven instances. </w:t>
      </w:r>
      <w:r>
        <w:rPr>
          <w:rFonts w:ascii="Georgia" w:hAnsi="Georgia" w:cs="Georgia"/>
        </w:rPr>
        <w:t xml:space="preserve">Luxe Organix and Pond’s followed with five instances each, while Olay had three instances and Myra had two. </w:t>
      </w:r>
      <w:r>
        <w:rPr>
          <w:rFonts w:ascii="Georgia" w:hAnsi="Georgia" w:cs="Georgia"/>
        </w:rPr>
        <w:t xml:space="preserve">The full advertisement captions associated with these CTA phrases commonly presented product ingredients, features, numerical information, stated benefits, and prices. </w:t>
      </w:r>
      <w:r>
        <w:rPr>
          <w:rFonts w:ascii="Georgia" w:hAnsi="Georgia" w:cs="Georgia"/>
        </w:rPr>
        <w:t xml:space="preserve">For example, Olay used the phrase “Get the power of 5 serum benefits in just one bottle!” The number “5” and the reference to serum benefits provided specific product-related information. </w:t>
      </w:r>
      <w:r>
        <w:rPr>
          <w:rFonts w:ascii="Georgia" w:hAnsi="Georgia" w:cs="Georgia"/>
        </w:rPr>
        <w:t xml:space="preserve">Similarly, Luxe Organix captions presented information about ingredients, sun protection, product functions, and prices. </w:t>
      </w:r>
      <w:r>
        <w:rPr>
          <w:rFonts w:ascii="Georgia" w:hAnsi="Georgia" w:cs="Georgia"/>
        </w:rPr>
        <w:t xml:space="preserve">These textual elements served as the basis for classifying the corresponding CTA phrases under logos because they presented product-related information and stated benefits that could serve as reasons for considering the advertised products. </w:t>
      </w:r>
      <w:r>
        <w:rPr>
          <w:rFonts w:ascii="Georgia" w:hAnsi="Georgia" w:cs="Georgia"/>
          <w:highlight w:val="yellow"/>
        </w:rPr>
        <w:t>This interpretation is consistent with the study’s theoretical framework, in which logos refers to persuasion through logical reasoning or argument (Rapp, 2022).</w:t>
      </w:r>
    </w:p>
    <w:p>
      <w:pPr>
        <w:spacing w:line="480" w:lineRule="auto" w:before="0" w:after="0"/>
        <w:ind w:firstLine="720"/>
        <w:jc w:val="both"/>
      </w:pPr>
      <w:r>
        <w:rPr>
          <w:rFonts w:ascii="Georgia" w:hAnsi="Georgia" w:cs="Georgia"/>
        </w:rPr>
        <w:t xml:space="preserve">Pathos was identified in 11 CTA phrases. </w:t>
      </w:r>
      <w:r>
        <w:rPr>
          <w:rFonts w:ascii="Georgia" w:hAnsi="Georgia" w:cs="Georgia"/>
        </w:rPr>
        <w:t xml:space="preserve">Olay and Myra had the highest frequencies, with four instances each, followed by Luxe Organix with two instances and Pond’s with one. </w:t>
      </w:r>
      <w:r>
        <w:rPr>
          <w:rFonts w:ascii="Georgia" w:hAnsi="Georgia" w:cs="Georgia"/>
        </w:rPr>
        <w:t xml:space="preserve">No CTA phrase from The Ordinary was classified under pathos. </w:t>
      </w:r>
      <w:r>
        <w:rPr>
          <w:rFonts w:ascii="Georgia" w:hAnsi="Georgia" w:cs="Georgia"/>
        </w:rPr>
        <w:t xml:space="preserve">The full captions containing these CTA phrases included expressions related to desirable skin conditions, emotional associations, promotional excitement, and urgency. </w:t>
      </w:r>
      <w:r>
        <w:rPr>
          <w:rFonts w:ascii="Georgia" w:hAnsi="Georgia" w:cs="Georgia"/>
        </w:rPr>
        <w:t xml:space="preserve">For example, Olay used expressions such as “Wrap your skin in love,” “glowy, refreshed skin,” “win amazing prizes,” and “Don’t miss out!” Luxe Organix used the question “Want to achieve a youthful skin?” to present youthful-looking skin as a desirable outcome. </w:t>
      </w:r>
      <w:r>
        <w:rPr>
          <w:rFonts w:ascii="Georgia" w:hAnsi="Georgia" w:cs="Georgia"/>
        </w:rPr>
        <w:t xml:space="preserve">Meanwhile, Myra used the phrase “Give her the gift of youthful radiance,” which associated the advertised product with affection and appreciation. </w:t>
      </w:r>
      <w:r>
        <w:rPr>
          <w:rFonts w:ascii="Georgia" w:hAnsi="Georgia" w:cs="Georgia"/>
        </w:rPr>
        <w:t xml:space="preserve">These textual elements supported the classification of the corresponding CTA phrases under pathos because they appealed to the audience’s emotions, desires, and aspirations. </w:t>
      </w:r>
      <w:r>
        <w:rPr>
          <w:rFonts w:ascii="Georgia" w:hAnsi="Georgia" w:cs="Georgia"/>
          <w:highlight w:val="yellow"/>
        </w:rPr>
        <w:t>This classification follows the study’s theoretical framework, which explains pathos as an appeal to the emotions of the audience (Rapp, 2022).</w:t>
      </w:r>
    </w:p>
    <w:p>
      <w:pPr>
        <w:spacing w:line="480" w:lineRule="auto" w:before="0" w:after="0"/>
        <w:ind w:firstLine="720"/>
        <w:jc w:val="both"/>
      </w:pPr>
      <w:r>
        <w:rPr>
          <w:rFonts w:ascii="Georgia" w:hAnsi="Georgia" w:cs="Georgia"/>
        </w:rPr>
        <w:t xml:space="preserve">Ethos was identified in only one CTA phrase, which came from Myra. </w:t>
      </w:r>
      <w:r>
        <w:rPr>
          <w:rFonts w:ascii="Georgia" w:hAnsi="Georgia" w:cs="Georgia"/>
        </w:rPr>
        <w:t xml:space="preserve">The phrase “Myra’s trusted skincare essentials” emphasized trustworthiness through the word “trusted.” This expression provided a basis for classifying the CTA phrase under ethos because it presented the brand’s skincare products as trustworthy. </w:t>
      </w:r>
      <w:r>
        <w:rPr>
          <w:rFonts w:ascii="Georgia" w:hAnsi="Georgia" w:cs="Georgia"/>
        </w:rPr>
        <w:t xml:space="preserve">In contrast, the phrase “made by Myra” in another advertisement was not classified under ethos merely because it identified the brand. </w:t>
      </w:r>
      <w:r>
        <w:rPr>
          <w:rFonts w:ascii="Georgia" w:hAnsi="Georgia" w:cs="Georgia"/>
        </w:rPr>
        <w:t xml:space="preserve">Instead, the associated words “Glow” and “Radiance” emphasized desirable skin appearance, which supported its classification under pathos. </w:t>
      </w:r>
      <w:r>
        <w:rPr>
          <w:rFonts w:ascii="Georgia" w:hAnsi="Georgia" w:cs="Georgia"/>
        </w:rPr>
        <w:t xml:space="preserve">This distinction shows that the classification was based on the specific textual evidence in the advertisement captions rather than on brand identification alone. </w:t>
      </w:r>
      <w:r>
        <w:rPr>
          <w:rFonts w:ascii="Georgia" w:hAnsi="Georgia" w:cs="Georgia"/>
          <w:highlight w:val="yellow"/>
        </w:rPr>
        <w:t>This interpretation is consistent with the theoretical definition of ethos as an appeal based on credibility and trustworthiness (Rapp, 2022).</w:t>
      </w:r>
    </w:p>
    <w:p>
      <w:pPr>
        <w:spacing w:line="480" w:lineRule="auto" w:before="0" w:after="0"/>
        <w:ind w:firstLine="720"/>
        <w:jc w:val="both"/>
      </w:pPr>
      <w:r>
        <w:rPr>
          <w:rFonts w:ascii="Georgia" w:hAnsi="Georgia" w:eastAsia="Georgia"/>
          <w:b w:val="0"/>
          <w:i w:val="0"/>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ind w:firstLine="0"/>
        <w:jc w:val="both"/>
      </w:pPr>
      <w:r>
        <w:rPr>
          <w:rFonts w:ascii="Georgia" w:hAnsi="Georgia" w:eastAsia="Georgia"/>
          <w:b w:val="0"/>
          <w:i/>
          <w:sz w:val="22"/>
        </w:rPr>
        <w:t>[Insert Table 2 sample rows from the working Chapter 3 draft: Olay, Luxe Organix, The Ordinary, Myra, and Pond’s with caption, rhetorical appeal, and interpretation.]</w:t>
      </w:r>
    </w:p>
    <w:p>
      <w:pPr>
        <w:spacing w:line="480" w:lineRule="auto" w:before="0" w:after="0"/>
        <w:ind w:firstLine="720"/>
        <w:jc w:val="both"/>
      </w:pPr>
      <w:r>
        <w:rPr>
          <w:rFonts w:ascii="Georgia" w:hAnsi="Georgia" w:eastAsia="Georgia"/>
          <w:b w:val="0"/>
          <w:i w:val="0"/>
          <w:sz w:val="22"/>
        </w:rP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Pr>
        <w:spacing w:line="480" w:lineRule="auto" w:before="200" w:after="0"/>
        <w:ind w:firstLine="0"/>
        <w:jc w:val="both"/>
      </w:pPr>
      <w:r>
        <w:rPr>
          <w:rFonts w:ascii="Georgia" w:hAnsi="Georgia" w:eastAsia="Georgia"/>
          <w:b/>
          <w:i w:val="0"/>
          <w:sz w:val="22"/>
        </w:rPr>
        <w:t>Discussion</w:t>
      </w:r>
    </w:p>
    <w:p>
      <w:pPr>
        <w:spacing w:line="480" w:lineRule="auto" w:before="0" w:after="0"/>
        <w:ind w:firstLine="720"/>
        <w:jc w:val="both"/>
      </w:pPr>
      <w:r>
        <w:rPr>
          <w:rFonts w:ascii="Georgia" w:hAnsi="Georgia" w:cs="Georgia"/>
          <w:highlight w:val="yellow"/>
        </w:rPr>
        <w:t xml:space="preserve">The findings can be compared with Dwiyanti (2024), who examined persuasive techniques in makeup and skincare video advertisements. </w:t>
      </w:r>
      <w:r>
        <w:rPr>
          <w:rFonts w:ascii="Georgia" w:hAnsi="Georgia" w:cs="Georgia"/>
        </w:rPr>
        <w:t xml:space="preserve">In that study, pathos was the most frequently identified rhetorical appeal, whereas logos and ethos occurred less frequently. </w:t>
      </w:r>
      <w:r>
        <w:rPr>
          <w:rFonts w:ascii="Georgia" w:hAnsi="Georgia" w:cs="Georgia"/>
        </w:rPr>
        <w:t xml:space="preserve">This differs from the present study, in which logos was the dominant appeal. </w:t>
      </w:r>
      <w:r>
        <w:rPr>
          <w:rFonts w:ascii="Georgia" w:hAnsi="Georgia" w:cs="Georgia"/>
          <w:highlight w:val="yellow"/>
        </w:rPr>
        <w:t xml:space="preserve">The difference may be related to the materials and units of analysis examined in the two studies, as the present research focused specifically on CTA phrases in Facebook advertisement captions, whereas Dwiyanti (2024) examined makeup and skincare video advertisements. </w:t>
      </w:r>
      <w:r>
        <w:rPr>
          <w:rFonts w:ascii="Georgia" w:hAnsi="Georgia" w:cs="Georgia"/>
        </w:rPr>
        <w:t xml:space="preserve">However, this comparison does not establish that the platform itself caused the difference. </w:t>
      </w:r>
      <w:r>
        <w:rPr>
          <w:rFonts w:ascii="Georgia" w:hAnsi="Georgia" w:cs="Georgia"/>
        </w:rPr>
        <w:t>Rather, it suggests that the distribution of rhetorical appeals may vary across the advertising materials and analytical approaches used.</w:t>
      </w:r>
    </w:p>
    <w:p>
      <w:pPr>
        <w:spacing w:line="480" w:lineRule="auto" w:before="0" w:after="0"/>
        <w:ind w:firstLine="720"/>
        <w:jc w:val="both"/>
      </w:pPr>
      <w:r>
        <w:rPr>
          <w:rFonts w:ascii="Georgia" w:hAnsi="Georgia" w:cs="Georgia"/>
          <w:highlight w:val="yellow"/>
        </w:rPr>
        <w:t xml:space="preserve">Related work on Facebook advertising in the Philippines has also identified rhetorical appeals in other product sectors, including bank picture advertisements where ethos–logos combinations were common (De Castro &amp; Martinez, 2025). </w:t>
      </w:r>
      <w:r>
        <w:rPr>
          <w:rFonts w:ascii="Georgia" w:hAnsi="Georgia" w:cs="Georgia"/>
          <w:highlight w:val="yellow"/>
        </w:rPr>
        <w:t xml:space="preserve">Consumer-response research further suggests that audiences may give strong weight to credibility when judging advertisements (Talaue, 2022). </w:t>
      </w:r>
      <w:r>
        <w:rPr>
          <w:rFonts w:ascii="Georgia" w:hAnsi="Georgia" w:cs="Georgia"/>
        </w:rPr>
        <w:t xml:space="preserve">Similar attention to product-based and fact-oriented language in social media advertising also appears in Nasir et al. </w:t>
      </w:r>
      <w:r>
        <w:rPr>
          <w:rFonts w:ascii="Georgia" w:hAnsi="Georgia" w:cs="Georgia"/>
        </w:rPr>
        <w:t xml:space="preserve">(2025). </w:t>
      </w:r>
      <w:r>
        <w:rPr>
          <w:rFonts w:ascii="Georgia" w:hAnsi="Georgia" w:cs="Georgia"/>
        </w:rPr>
        <w:t>Taken together, these studies support reading the present logos-dominant pattern as a finding about the captions under study, while showing that other materials and audiences may foreground pathos or ethos more strongly.</w:t>
      </w:r>
    </w:p>
    <w:p>
      <w:pPr>
        <w:spacing w:line="480" w:lineRule="auto" w:before="240" w:after="0"/>
        <w:ind w:firstLine="0"/>
        <w:jc w:val="both"/>
      </w:pPr>
      <w:r>
        <w:rPr>
          <w:rFonts w:ascii="Georgia" w:hAnsi="Georgia" w:eastAsia="Georgia"/>
          <w:b/>
          <w:i w:val="0"/>
          <w:sz w:val="24"/>
        </w:rPr>
        <w:t>Part II. Directive Subtypes Present in the CTA Phrases</w:t>
      </w:r>
    </w:p>
    <w:p>
      <w:pPr>
        <w:spacing w:line="480" w:lineRule="auto" w:before="200" w:after="0"/>
        <w:ind w:firstLine="0"/>
        <w:jc w:val="both"/>
      </w:pPr>
      <w:r>
        <w:rPr>
          <w:rFonts w:ascii="Georgia" w:hAnsi="Georgia" w:eastAsia="Georgia"/>
          <w:b/>
          <w:i w:val="0"/>
          <w:sz w:val="22"/>
        </w:rPr>
        <w:t>Findings</w:t>
      </w:r>
    </w:p>
    <w:p>
      <w:pPr>
        <w:spacing w:line="480" w:lineRule="auto" w:before="0" w:after="0"/>
        <w:ind w:firstLine="720"/>
        <w:jc w:val="both"/>
      </w:pPr>
      <w:r>
        <w:rPr>
          <w:rFonts w:ascii="Georgia" w:hAnsi="Georgia" w:cs="Georgia"/>
        </w:rPr>
        <w:t xml:space="preserve">The coding identified two directive subtypes across the 34 call-to-action (CTA) phrases from the selected Facebook skincare advertisement captions: order and suggestion. </w:t>
      </w:r>
      <w:r>
        <w:rPr>
          <w:rFonts w:ascii="Georgia" w:hAnsi="Georgia" w:cs="Georgia"/>
          <w:highlight w:val="yellow"/>
        </w:rPr>
        <w:t xml:space="preserve">The analysis considered four directive subtypes—command, order, request, and suggestion—based on the operational categories used in the study, following Yule (1996, as cited in Anggraini &amp; Afriana, 2023). </w:t>
      </w:r>
      <w:r>
        <w:rPr>
          <w:rFonts w:ascii="Georgia" w:hAnsi="Georgia" w:cs="Georgia"/>
          <w:highlight w:val="yellow"/>
        </w:rPr>
        <w:t xml:space="preserve">Searle (1975, 1976) describes directives as speech acts through which the speaker attempts to get the hearer to perform an action. </w:t>
      </w:r>
      <w:r>
        <w:rPr>
          <w:rFonts w:ascii="Georgia" w:hAnsi="Georgia" w:cs="Georgia"/>
        </w:rPr>
        <w:t>Table 3 presents the distribution of directive subtypes across the five selected skincare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Directive Subtype</w:t>
            </w:r>
          </w:p>
        </w:tc>
        <w:tc>
          <w:tcPr>
            <w:tcW w:type="dxa" w:w="2160"/>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Command</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Order</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Suggestion</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35.29%</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Request</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3 presents the overall distribution of the four directive subtypes considered in the analysis. Order was the most frequently identified subtype, with 22 instances (64.71%), followed by suggestion, with 12 instances (35.29%). No instances of command or request were identified in the analyzed CTA phrases. Orders appeared across all five selected skincare brands, while suggestions were also identified across the selected advertisements, although their frequency varied by brand.</w:t>
      </w:r>
    </w:p>
    <w:p>
      <w:pPr>
        <w:spacing w:line="480" w:lineRule="auto" w:before="0" w:after="0"/>
        <w:ind w:firstLine="720"/>
        <w:jc w:val="both"/>
      </w:pPr>
      <w:r>
        <w:rPr>
          <w:rFonts w:ascii="Georgia" w:hAnsi="Georgia" w:eastAsia="Georgia"/>
          <w:b w:val="0"/>
          <w:i w:val="0"/>
          <w:sz w:val="22"/>
        </w:rP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Pr>
        <w:spacing w:line="480" w:lineRule="auto" w:before="0" w:after="0"/>
        <w:ind w:firstLine="720"/>
        <w:jc w:val="both"/>
      </w:pPr>
      <w:r>
        <w:rPr>
          <w:rFonts w:ascii="Georgia" w:hAnsi="Georgia" w:cs="Georgia"/>
        </w:rPr>
        <w:t xml:space="preserve">Suggestion was identified in 12 CTA phrases. </w:t>
      </w:r>
      <w:r>
        <w:rPr>
          <w:rFonts w:ascii="Georgia" w:hAnsi="Georgia" w:cs="Georgia"/>
        </w:rPr>
        <w:t xml:space="preserve">Myra had five instances, followed by Pond’s with four, The Ordinary with two, and Luxe Organix with one. </w:t>
      </w:r>
      <w:r>
        <w:rPr>
          <w:rFonts w:ascii="Georgia" w:hAnsi="Georgia" w:cs="Georgia"/>
        </w:rPr>
        <w:t xml:space="preserve">No suggestion was identified in Olay’s selected CTA phrases. </w:t>
      </w:r>
      <w:r>
        <w:rPr>
          <w:rFonts w:ascii="Georgia" w:hAnsi="Georgia" w:cs="Georgia"/>
        </w:rPr>
        <w:t xml:space="preserve">These expressions encouraged consumers to consider trying products, incorporating them into their skincare routines, or using them to pursue desired results. </w:t>
      </w:r>
      <w:r>
        <w:rPr>
          <w:rFonts w:ascii="Georgia" w:hAnsi="Georgia" w:cs="Georgia"/>
        </w:rPr>
        <w:t xml:space="preserve">For example, Luxe Organix used “Try this newest Niacinamide + Retinol cloudsoap!” to encourage consumers to consider trying the advertised product. </w:t>
      </w:r>
      <w:r>
        <w:rPr>
          <w:rFonts w:ascii="Georgia" w:hAnsi="Georgia" w:cs="Georgia"/>
        </w:rPr>
        <w:t xml:space="preserve">The Ordinary used “Power Up Your P.M.” to suggest enhancing the audience’s nighttime skincare routine. </w:t>
      </w:r>
      <w:r>
        <w:rPr>
          <w:rFonts w:ascii="Georgia" w:hAnsi="Georgia" w:cs="Georgia"/>
        </w:rPr>
        <w:t xml:space="preserve">Meanwhile, Myra used “Give her the gift of youthful radiance with Myra Ultimate,” connecting the product with the idea of giving a gift. </w:t>
      </w:r>
      <w:r>
        <w:rPr>
          <w:rFonts w:ascii="Georgia" w:hAnsi="Georgia" w:cs="Georgia"/>
          <w:highlight w:val="yellow"/>
        </w:rPr>
        <w:t>These expressions were classified as suggestions because they encourage or recommend an action that the audience may consider (Anggraini &amp; Afriana, 2023).</w:t>
      </w:r>
    </w:p>
    <w:p>
      <w:pPr>
        <w:spacing w:line="480" w:lineRule="auto" w:before="0" w:after="0"/>
        <w:ind w:firstLine="720"/>
        <w:jc w:val="both"/>
      </w:pPr>
      <w:r>
        <w:rPr>
          <w:rFonts w:ascii="Georgia" w:hAnsi="Georgia" w:eastAsia="Georgia"/>
          <w:b w:val="0"/>
          <w:i w:val="0"/>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Pr>
        <w:spacing w:line="480" w:lineRule="auto" w:before="0" w:after="0"/>
        <w:ind w:firstLine="720"/>
        <w:jc w:val="both"/>
      </w:pPr>
      <w:r>
        <w:rPr>
          <w:rFonts w:ascii="Georgia" w:hAnsi="Georgia" w:eastAsia="Georgia"/>
          <w:b w:val="0"/>
          <w:i w:val="0"/>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ind w:firstLine="0"/>
        <w:jc w:val="both"/>
      </w:pPr>
      <w:r>
        <w:rPr>
          <w:rFonts w:ascii="Georgia" w:hAnsi="Georgia" w:eastAsia="Georgia"/>
          <w:b w:val="0"/>
          <w:i/>
          <w:sz w:val="22"/>
        </w:rPr>
        <w:t>[Insert Table 4 sample rows from the working Chapter 3 draft: Olay, Luxe Organix, The Ordinary, Myra, and Pond’s with caption, directive subtype, and interpretation.]</w:t>
      </w:r>
    </w:p>
    <w:p>
      <w:pPr>
        <w:spacing w:line="480" w:lineRule="auto" w:before="0" w:after="0"/>
        <w:ind w:firstLine="720"/>
        <w:jc w:val="both"/>
      </w:pPr>
      <w:r>
        <w:rPr>
          <w:rFonts w:ascii="Georgia" w:hAnsi="Georgia" w:eastAsia="Georgia"/>
          <w:b w:val="0"/>
          <w:i w:val="0"/>
          <w:sz w:val="22"/>
        </w:rP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Pr>
        <w:spacing w:line="480" w:lineRule="auto" w:before="200" w:after="0"/>
        <w:ind w:firstLine="0"/>
        <w:jc w:val="both"/>
      </w:pPr>
      <w:r>
        <w:rPr>
          <w:rFonts w:ascii="Georgia" w:hAnsi="Georgia" w:eastAsia="Georgia"/>
          <w:b/>
          <w:i w:val="0"/>
          <w:sz w:val="22"/>
        </w:rPr>
        <w:t>Discussion</w:t>
      </w:r>
    </w:p>
    <w:p>
      <w:pPr>
        <w:spacing w:line="480" w:lineRule="auto" w:before="0" w:after="0"/>
        <w:ind w:firstLine="720"/>
        <w:jc w:val="both"/>
      </w:pPr>
      <w:r>
        <w:rPr>
          <w:rFonts w:ascii="Georgia" w:hAnsi="Georgia" w:cs="Georgia"/>
          <w:highlight w:val="yellow"/>
        </w:rPr>
        <w:t xml:space="preserve">Research on imperatives in advertising has noted that such forms often function more like advice or recommendation than strict commands (Pennock-Speck &amp; Fuster-Márquez, 2014). </w:t>
      </w:r>
      <w:r>
        <w:rPr>
          <w:rFonts w:ascii="Georgia" w:hAnsi="Georgia" w:cs="Georgia"/>
        </w:rPr>
        <w:t xml:space="preserve">The present findings are consistent with that observation in the sense that the CTA phrases clustered on order and suggestion rather than on command or request. </w:t>
      </w:r>
      <w:r>
        <w:rPr>
          <w:rFonts w:ascii="Georgia" w:hAnsi="Georgia" w:cs="Georgia"/>
        </w:rPr>
        <w:t xml:space="preserve">Orders in the sample directed concrete commercial actions, while suggestions invited consideration. </w:t>
      </w:r>
      <w:r>
        <w:rPr>
          <w:rFonts w:ascii="Georgia" w:hAnsi="Georgia" w:cs="Georgia"/>
        </w:rPr>
        <w:t>The absence of command and request does not mean those subtypes are impossible in advertising English; it means they were not observed under the operational criteria applied to this corpus.</w:t>
      </w:r>
    </w:p>
    <w:p>
      <w:pPr>
        <w:spacing w:line="480" w:lineRule="auto" w:before="0" w:after="0"/>
        <w:ind w:firstLine="720"/>
        <w:jc w:val="both"/>
      </w:pPr>
      <w:r>
        <w:rPr>
          <w:rFonts w:ascii="Georgia" w:hAnsi="Georgia" w:cs="Georgia"/>
          <w:highlight w:val="yellow"/>
        </w:rPr>
        <w:t xml:space="preserve">Related work on beauty product captions has also identified directive language used to encourage purchase and engagement (Saad &amp; Ismael, 2025). </w:t>
      </w:r>
      <w:r>
        <w:rPr>
          <w:rFonts w:ascii="Georgia" w:hAnsi="Georgia" w:cs="Georgia"/>
        </w:rPr>
        <w:t xml:space="preserve">In that broader sense, the present study aligns with research that treats advertising language as action-oriented. </w:t>
      </w:r>
      <w:r>
        <w:rPr>
          <w:rFonts w:ascii="Georgia" w:hAnsi="Georgia" w:cs="Georgia"/>
        </w:rPr>
        <w:t>What the present data specify is the distribution of Yule’s subtypes in these Facebook skincare CTAs: order as the main form, suggestion as secondary, and command and request as unused in the sample.</w:t>
      </w:r>
    </w:p>
    <w:p>
      <w:pPr>
        <w:spacing w:line="480" w:lineRule="auto" w:before="240" w:after="0"/>
        <w:ind w:firstLine="0"/>
        <w:jc w:val="both"/>
      </w:pPr>
      <w:r>
        <w:rPr>
          <w:rFonts w:ascii="Georgia" w:hAnsi="Georgia" w:eastAsia="Georgia"/>
          <w:b/>
          <w:i w:val="0"/>
          <w:sz w:val="24"/>
        </w:rPr>
        <w:t>Part III. Constructing Persuasive Meaning</w:t>
      </w:r>
    </w:p>
    <w:p>
      <w:pPr>
        <w:spacing w:line="480" w:lineRule="auto" w:before="200" w:after="0"/>
        <w:ind w:firstLine="0"/>
        <w:jc w:val="both"/>
      </w:pPr>
      <w:r>
        <w:rPr>
          <w:rFonts w:ascii="Georgia" w:hAnsi="Georgia" w:eastAsia="Georgia"/>
          <w:b/>
          <w:i w:val="0"/>
          <w:sz w:val="22"/>
        </w:rPr>
        <w:t>Findings</w:t>
      </w:r>
    </w:p>
    <w:p>
      <w:pPr>
        <w:spacing w:line="480" w:lineRule="auto" w:before="0" w:after="0"/>
        <w:ind w:firstLine="720"/>
        <w:jc w:val="both"/>
      </w:pPr>
      <w:r>
        <w:rPr>
          <w:rFonts w:ascii="Georgia" w:hAnsi="Georgia" w:eastAsia="Georgia"/>
          <w:b w:val="0"/>
          <w:i w:val="0"/>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tbl>
      <w:tblPr>
        <w:tblStyle w:val="TableGrid"/>
        <w:tblW w:type="auto" w:w="0"/>
        <w:jc w:val="center"/>
        <w:tblLook w:firstColumn="1" w:firstRow="1" w:lastColumn="0" w:lastRow="0" w:noHBand="0" w:noVBand="1" w:val="04A0"/>
      </w:tblPr>
      <w:tblGrid>
        <w:gridCol w:w="2880"/>
        <w:gridCol w:w="2880"/>
        <w:gridCol w:w="2880"/>
      </w:tblGrid>
      <w:tr>
        <w:tc>
          <w:tcPr>
            <w:tcW w:type="dxa" w:w="4608"/>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Rhetorical Appeal + Directive Subtype</w:t>
            </w:r>
          </w:p>
        </w:tc>
        <w:tc>
          <w:tcPr>
            <w:tcW w:type="dxa" w:w="1872"/>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Frequency</w:t>
            </w:r>
          </w:p>
        </w:tc>
        <w:tc>
          <w:tcPr>
            <w:tcW w:type="dxa" w:w="1872"/>
            <w:tcBorders>
              <w:top w:val="single" w:sz="4" w:space="0" w:color="000000"/>
              <w:left w:val="single" w:sz="4" w:space="0" w:color="000000"/>
              <w:bottom w:val="single" w:sz="4" w:space="0" w:color="000000"/>
              <w:right w:val="single" w:sz="4" w:space="0" w:color="000000"/>
            </w:tcBorders>
            <w:shd w:fill="D9D9D9" w:val="clear"/>
            <w:shd w:fill="D9D9D9" w:val="clear"/>
          </w:tcPr>
          <w:p>
            <w:pPr>
              <w:spacing w:before="40" w:after="40" w:line="240" w:lineRule="auto"/>
              <w:jc w:val="center"/>
            </w:pPr>
            <w:r/>
            <w:r>
              <w:rPr>
                <w:rFonts w:ascii="Georgia" w:hAnsi="Georgia" w:eastAsia="Georgia"/>
                <w:b/>
                <w:i w:val="0"/>
                <w:sz w:val="18"/>
              </w:rPr>
              <w:t>Percentage</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44.12%</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17.65%</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7</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20.59%</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14.71%</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Pr>
        <w:spacing w:line="480" w:lineRule="auto" w:before="0" w:after="0"/>
        <w:ind w:firstLine="720"/>
        <w:jc w:val="both"/>
      </w:pPr>
      <w:r>
        <w:rPr>
          <w:rFonts w:ascii="Georgia" w:hAnsi="Georgia" w:eastAsia="Georgia"/>
          <w:b w:val="0"/>
          <w:i w:val="0"/>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Pr>
        <w:spacing w:line="480" w:lineRule="auto" w:before="0" w:after="0"/>
        <w:ind w:firstLine="720"/>
        <w:jc w:val="both"/>
      </w:pPr>
      <w:r>
        <w:rPr>
          <w:rFonts w:ascii="Georgia" w:hAnsi="Georgia" w:eastAsia="Georgia"/>
          <w:b w:val="0"/>
          <w:i w:val="0"/>
          <w:sz w:val="22"/>
        </w:rP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Pr>
        <w:spacing w:line="480" w:lineRule="auto" w:before="0" w:after="0"/>
        <w:ind w:firstLine="720"/>
        <w:jc w:val="both"/>
      </w:pPr>
      <w:r>
        <w:rPr>
          <w:rFonts w:ascii="Georgia" w:hAnsi="Georgia" w:eastAsia="Georgia"/>
          <w:b w:val="0"/>
          <w:i w:val="0"/>
          <w:sz w:val="22"/>
        </w:rP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Pr>
        <w:spacing w:line="480" w:lineRule="auto" w:before="0" w:after="0"/>
        <w:ind w:firstLine="720"/>
        <w:jc w:val="both"/>
      </w:pPr>
      <w:r>
        <w:rPr>
          <w:rFonts w:ascii="Georgia" w:hAnsi="Georgia" w:eastAsia="Georgia"/>
          <w:b w:val="0"/>
          <w:i w:val="0"/>
          <w:sz w:val="22"/>
        </w:rP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Pr>
        <w:spacing w:line="480" w:lineRule="auto" w:before="0" w:after="0"/>
        <w:ind w:firstLine="720"/>
        <w:jc w:val="both"/>
      </w:pPr>
      <w:r>
        <w:rPr>
          <w:rFonts w:ascii="Georgia" w:hAnsi="Georgia" w:eastAsia="Georgia"/>
          <w:b w:val="0"/>
          <w:i w:val="0"/>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line="480" w:lineRule="auto" w:before="200" w:after="0"/>
        <w:ind w:firstLine="0"/>
        <w:jc w:val="both"/>
      </w:pPr>
      <w:r>
        <w:rPr>
          <w:rFonts w:ascii="Georgia" w:hAnsi="Georgia" w:eastAsia="Georgia"/>
          <w:b/>
          <w:i w:val="0"/>
          <w:sz w:val="22"/>
        </w:rPr>
        <w:t>Discussion</w:t>
      </w:r>
    </w:p>
    <w:p>
      <w:pPr>
        <w:spacing w:line="480" w:lineRule="auto" w:before="0" w:after="0"/>
        <w:ind w:firstLine="720"/>
        <w:jc w:val="both"/>
      </w:pPr>
      <w:r>
        <w:rPr>
          <w:rFonts w:ascii="Georgia" w:hAnsi="Georgia" w:cs="Georgia"/>
          <w:highlight w:val="yellow"/>
        </w:rPr>
        <w:t xml:space="preserve">Related studies on cosmetics advertising in social media have examined how rhetorical appeals and speech acts work together in promotional messages (Saad &amp; Ismael, 2025). </w:t>
      </w:r>
      <w:r>
        <w:rPr>
          <w:rFonts w:ascii="Georgia" w:hAnsi="Georgia" w:cs="Georgia"/>
        </w:rPr>
        <w:t xml:space="preserve">The present findings are consistent with that line of work in showing that CTA phrases do more than name an appeal or issue an instruction alone. </w:t>
      </w:r>
      <w:r>
        <w:rPr>
          <w:rFonts w:ascii="Georgia" w:hAnsi="Georgia" w:cs="Georgia"/>
        </w:rPr>
        <w:t xml:space="preserve">In this corpus, the most common pattern was Logos + Order, followed by Logos + Suggestion and the pathos-based pairings. </w:t>
      </w:r>
      <w:r>
        <w:rPr>
          <w:rFonts w:ascii="Georgia" w:hAnsi="Georgia" w:cs="Georgia"/>
        </w:rPr>
        <w:t>The single Ethos + Order case further suggests that credibility-based wording was rare in the sample when the unit of analysis was the CTA phrase in context.</w:t>
      </w:r>
    </w:p>
    <w:p>
      <w:pPr>
        <w:spacing w:line="480" w:lineRule="auto" w:before="0" w:after="0"/>
        <w:ind w:firstLine="720"/>
        <w:jc w:val="both"/>
      </w:pPr>
      <w:r>
        <w:rPr>
          <w:rFonts w:ascii="Georgia" w:hAnsi="Georgia" w:cs="Georgia"/>
          <w:highlight w:val="yellow"/>
        </w:rPr>
        <w:t xml:space="preserve">These patterns do not contradict studies in which pathos or ethos appears more often in other materials, such as video advertisements (Dwiyanti, 2024) or other product sectors on Facebook (De Castro &amp; Martinez, 2025). </w:t>
      </w:r>
      <w:r>
        <w:rPr>
          <w:rFonts w:ascii="Georgia" w:hAnsi="Georgia" w:cs="Georgia"/>
        </w:rPr>
        <w:t xml:space="preserve">They specify what the combinations look like in the selected Facebook skincare captions. </w:t>
      </w:r>
      <w:r>
        <w:rPr>
          <w:rFonts w:ascii="Georgia" w:hAnsi="Georgia" w:cs="Georgia"/>
        </w:rPr>
        <w:t>Future work may test whether the Logos + Order preference holds in larger samples or on other platforms.</w:t>
      </w:r>
    </w:p>
    <w:p>
      <w:pPr>
        <w:spacing w:line="480" w:lineRule="auto" w:before="240" w:after="0"/>
        <w:ind w:firstLine="0"/>
        <w:jc w:val="both"/>
      </w:pPr>
      <w:r>
        <w:rPr>
          <w:rFonts w:ascii="Georgia" w:hAnsi="Georgia" w:eastAsia="Georgia"/>
          <w:b/>
          <w:i w:val="0"/>
          <w:sz w:val="24"/>
        </w:rPr>
        <w:t>References</w:t>
      </w:r>
    </w:p>
    <w:p>
      <w:pPr>
        <w:spacing w:line="480" w:lineRule="auto"/>
        <w:ind w:left="720" w:hanging="720"/>
        <w:jc w:val="left"/>
      </w:pPr>
      <w:r>
        <w:rPr>
          <w:rFonts w:ascii="Georgia" w:hAnsi="Georgia" w:eastAsia="Georgia"/>
          <w:b w:val="0"/>
          <w:i w:val="0"/>
          <w:sz w:val="22"/>
        </w:rPr>
        <w:t>Anggraini, &amp; Afriana. (2023). [Operational definitions of directive subtypes command, order, request, and suggestion, as applied in the thesis framework from Yule (1996)].</w:t>
      </w:r>
    </w:p>
    <w:p>
      <w:pPr>
        <w:spacing w:line="480" w:lineRule="auto"/>
        <w:ind w:left="720" w:hanging="720"/>
        <w:jc w:val="left"/>
      </w:pPr>
      <w:r>
        <w:rPr>
          <w:rFonts w:ascii="Georgia" w:hAnsi="Georgia" w:eastAsia="Georgia"/>
          <w:b w:val="0"/>
          <w:i w:val="0"/>
          <w:sz w:val="22"/>
        </w:rPr>
        <w:t>De Castro, G. L., &amp; Martinez, S. P. (2025). Rhetorical appeals across selected Philippine bank advertising on Facebook. Southern Semiotic Review, (22). https://doi.org/10.33234/SSR.22.13</w:t>
      </w:r>
    </w:p>
    <w:p>
      <w:pPr>
        <w:spacing w:line="480" w:lineRule="auto"/>
        <w:ind w:left="720" w:hanging="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line="480" w:lineRule="auto"/>
        <w:ind w:left="720" w:hanging="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line="480" w:lineRule="auto"/>
        <w:ind w:left="720" w:hanging="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line="480" w:lineRule="auto"/>
        <w:ind w:left="720" w:hanging="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line="480" w:lineRule="auto"/>
        <w:ind w:left="720" w:hanging="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14. https://doi.org/10.56924/tasnim.14.2025/23</w:t>
      </w:r>
    </w:p>
    <w:p>
      <w:pPr>
        <w:spacing w:line="480" w:lineRule="auto"/>
        <w:ind w:left="720" w:hanging="720"/>
        <w:jc w:val="left"/>
      </w:pPr>
      <w:r>
        <w:rPr>
          <w:rFonts w:ascii="Georgia" w:hAnsi="Georgia" w:eastAsia="Georgia"/>
          <w:b w:val="0"/>
          <w:i w:val="0"/>
          <w:sz w:val="22"/>
        </w:rPr>
        <w:t>Searle, J. R. (1975). Indirect speech acts. In P. Cole &amp; J. L. Morgan (Eds.), Syntax and semantics: Vol. 3. Speech acts (pp. 59–82). Academic Press.</w:t>
      </w:r>
    </w:p>
    <w:p>
      <w:pPr>
        <w:spacing w:line="480" w:lineRule="auto"/>
        <w:ind w:left="720" w:hanging="720"/>
        <w:jc w:val="left"/>
      </w:pPr>
      <w:r>
        <w:rPr>
          <w:rFonts w:ascii="Georgia" w:hAnsi="Georgia" w:eastAsia="Georgia"/>
          <w:b w:val="0"/>
          <w:i w:val="0"/>
          <w:sz w:val="22"/>
        </w:rPr>
        <w:t>Searle, J. R. (1976). A classification of illocutionary acts. Language in Society, 5(1), 1–23. https://doi.org/10.1017/S0047404500006837</w:t>
      </w:r>
    </w:p>
    <w:p>
      <w:pPr>
        <w:spacing w:line="480" w:lineRule="auto"/>
        <w:ind w:left="720" w:hanging="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line="480" w:lineRule="auto"/>
        <w:ind w:left="720" w:hanging="720"/>
        <w:jc w:val="left"/>
      </w:pPr>
      <w:r>
        <w:rPr>
          <w:rFonts w:ascii="Georgia" w:hAnsi="Georgia" w:eastAsia="Georgia"/>
          <w:b w:val="0"/>
          <w:i w:val="0"/>
          <w:sz w:val="22"/>
        </w:rPr>
        <w:t>Yule, G. (1996). Pragmatics. Oxford University Press.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