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those resolutions were logged in the codebook and applied consistently thereafter.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Ethical Considerations. </w:t>
      </w:r>
      <w:r>
        <w:rPr>
          <w:rFonts w:ascii="Georgia" w:cs="Georgia" w:eastAsia="Georgia" w:hAnsi="Georgia"/>
          <w:b w:val="0"/>
          <w:bCs w:val="0"/>
          <w:i w:val="0"/>
          <w:iCs w:val="0"/>
          <w:sz w:val="22"/>
          <w:szCs w:val="22"/>
          <w:rtl w:val="0"/>
        </w:rPr>
        <w:t xml:space="preserve">Abstracts were accessed on-site at the PSAU Library with proper authorization. Student names and thesis titles were fully anonymized using discipline codes (Acs1–Acs10, Aas1–Aas10,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Georgia" w:cs="Georgia" w:eastAsia="Georgia" w:hAnsi="Georgia"/>
          <w:b w:val="0"/>
          <w:bCs w:val="0"/>
          <w:i w:val="0"/>
          <w:iCs w:val="0"/>
          <w:sz w:val="22"/>
          <w:szCs w:val="22"/>
          <w:rtl w:val="0"/>
        </w:rPr>
        <w:t xml:space="preserve">The distribution of hedge types also varies meaningfully across disciplines.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cs="Georgia" w:eastAsia="Georgia" w:hAnsi="Georgia"/>
          <w:b w:val="0"/>
          <w:bCs w:val="0"/>
          <w:i w:val="0"/>
          <w:iCs w:val="0"/>
          <w:sz w:val="22"/>
          <w:szCs w:val="22"/>
          <w:rtl w:val="0"/>
        </w:rPr>
        <w:t xml:space="preserve">Table 3 reveals that Agriculture has a nearly balanced distribution (14 modal verbs, 51.9% vs. 13 lexical hedges, 48.1%), while Biology is heavily lexical (20 of 28 hedges, 71.4%, with only 5 modal verbs). Veterinary Medicine, with only 10 total hedges, is also predominantly lexical (8 of 10, 80.0%).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r>
        <w:rPr>
          <w:rtl w:val="0"/>
        </w:rPr>
      </w:r>
    </w:p>
    <w:p w:rsidR="00000000" w:rsidDel="00000000" w:rsidP="00000000" w:rsidRDefault="00000000" w:rsidRPr="00000000" w14:paraId="0000010B">
      <w:pPr>
        <w:spacing w:before="0" w:after="0" w:line="480" w:lineRule="auto"/>
        <w:ind w:firstLine="720"/>
        <w:jc w:val="both"/>
        <w:rPr/>
      </w:pPr>
      <w:r>
        <w:rPr>
          <w:rFonts w:ascii="Georgia" w:cs="Georgia" w:eastAsia="Georgia" w:hAnsi="Georgia"/>
          <w:b w:val="0"/>
          <w:bCs w:val="0"/>
          <w:i w:val="0"/>
          <w:iCs w:val="0"/>
          <w:sz w:val="22"/>
          <w:szCs w:val="22"/>
          <w:rtl w:val="0"/>
        </w:rPr>
        <w:t xml:space="preserve">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L3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cs="Georgia" w:eastAsia="Georgia" w:hAnsi="Georgia"/>
          <w:b w:val="0"/>
          <w:bCs w:val="0"/>
          <w:i w:val="0"/>
          <w:iCs w:val="0"/>
          <w:sz w:val="22"/>
          <w:szCs w:val="22"/>
          <w:rtl w:val="0"/>
        </w:rPr>
        <w:t xml:space="preserve">Cross-disciplinary comparison reveals substantial variation in hedge density.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Given the small sample size and zero-inflated distribution, this result is treated as exploratory rather than as confirmatory evidence of a disciplinary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tl w:val="0"/>
        </w:rPr>
        <w:t xml:space="preserve">The uniform assignment may reflect a restricted repertoire, the compressed abstract genre, the coding scheme, or single-rater interpretation; that limitation is noted in Scope. The narrow functional range is consistent with earlier findings on developing L2 writers (Hyland &amp; Milton, 1997).</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show three observable patterns in the ratified abstracts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rsidR="00000000" w:rsidDel="00000000" w:rsidP="00000000" w:rsidRDefault="00000000" w:rsidRPr="00000000" w14:paraId="00000161">
      <w:pPr>
        <w:spacing w:before="0" w:after="0" w:line="480" w:lineRule="auto"/>
        <w:ind w:firstLine="720"/>
        <w:jc w:val="both"/>
        <w:rPr/>
      </w:pPr>
      <w:r>
        <w:rPr>
          <w:rtl w:val="0"/>
        </w:rPr>
        <w:t xml:space="preserve">Agriculture: An observed pattern suggestive of cautious implication, though outlier-dependent. As noted in Part II, the Agriculture–Biology density contrast is sensitive to Acs2 and is better treated as marginal than as a stable ranking. Within that caveat, the near balance of modal verbs and lexical hedges in this subset, and the clustering of tokens such as potential and suggests in conclusion sentences, point to hedging of practical implications rather than of measured results. That reading fits Salager-Meyer’s (1994) distributed claim responsibility: the finding is stated with certainty; the application is softened. It may also reflect the practical orientation of agricultural research in this corpus.</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Biology: A pattern suggestive of lexical caution with topic-naming. Biology’s density sits close to Agriculture’s overall rate (Part II), but its hedges are predominantly lexical, with potential often appearing in aim statements as topic-naming rather than as a hedge on a claim (see also the false-positive discussion in Part II). When potential is retained as a hedge, it usually softens an implication. The pattern is less about sparse reporting than about a narrow set of lexical forms doing most of the work.</w:t>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Veterinary Medicine: lower density, cause unknown. Part II already shows VM’s low density and high zero-hedge share. In this subset, factive verbs (showed, revealed, demonstrated, confirmed) often carry results without qualification. Several abstracts report diagnostic or presence/absence outcomes, where a binary finding can reasonably be stated as fact. That observation about factive verbs is limited to the low overall count and the zero-hedge share; it is not a measured “assertive” profile for the discipline. The contrast with Agriculture and Biology is the clearest density difference in the corpus. Whether it reflects field norms, adviser expectations, or outcome type remains open.</w:t>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Across the three disciplines, Veterinary Medicine’s lower hedge density is the most robust contrast in this corpus. The Agriculture–Biology difference is marginal and partly outlier-driven. The data cannot separate field norms, adviser practice, and outcome type as explanations. The defensible claim is that VM abstracts in this corpus hedge less; the cause remains unknown.</w:t>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Disciplinary differentiation is present but uneven. Veterinary Medicine’s lower density is the clearest contrast; Agriculture’s edge over Biology is modest and outlier-sensitive. The data cannot separate field norms, adviser practice, and outcome type. Statistical evidence is exploratory (Kruskal-Wallis p = .033) and the sample is small. The study provides a local baseline: VM abstracts in this corpus hedge less; the cause remains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left"/>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312"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312"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312"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312"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312"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312"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312"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312"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312"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312"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312"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312"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312"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60" w:after="0" w:line="312"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312"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312"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312"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312"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0" w:line="312"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312"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312"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0" w:line="312"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312"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312"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cs="Georgia" w:eastAsia="Georgia" w:hAnsi="Georgia"/>
          <w:b w:val="1"/>
          <w:bCs w:val="1"/>
          <w:strike w:val="0"/>
          <w:color w:val="000000"/>
          <w:sz w:val="22"/>
          <w:szCs w:val="22"/>
          <w:shd w:fill="bfbfbf" w:val="clear"/>
          <w:rtl w:val="0"/>
        </w:rPr>
        <w:t xml:space="preserve">The results disclosed that the percentage of mortality and moisture content were statistically significant at 1% (P&lt;0.01) and (P&lt;0.05) level with 48 hours after the post-treatment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mortality rate and moisture content were not significant after 6 hours and 24 hours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for future researchers to add Diatomaceous earth and neem tree extract and check the humidity. Extend data collection for 72 hours and 96 hours for future study.</w:t>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