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i w:val="0"/>
          <w:iCs w:val="0"/>
          <w:sz w:val="22"/>
          <w:szCs w:val="22"/>
          <w:rtl w:val="0"/>
          <w:b/>
          <w:bCs/>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 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consists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retained hedges were coded Epistemic Caution (EC). No Politeness/Deference (P) or Discourse Organization (DO) hedges were identified. Discourse connectors such as Hence, Thus, Therefore, and In conclusion appear in the corpus and are tagged (DO) in Appendix C but are not counted as hedges. Table 6 presents the function distribution.</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As noted in Scope, 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