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epistemic weight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softening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2"/>
          <w:rtl w:val="0"/>
          <w:b w:val="0"/>
          <w:bCs w:val="0"/>
        </w:rPr>
        <w:t xml:space="preserve">The study proceeded through the following steps:</w:t>
      </w:r>
      <w:r>
        <w:rPr>
          <w:rFonts w:ascii="Georgia" w:hAnsi="Georgia" w:cs="Georgia" w:eastAsia="Georgia"/>
          <w:sz w:val="22"/>
          <w:rtl w:val="0"/>
          <w:b w:val="0"/>
          <w:bCs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spacing w:before="60" w:after="40" w:line="220"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20" w:after="20" w:line="220"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spacing w:before="60" w:after="40" w:line="220" w:lineRule="auto"/>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20" w:after="20" w:line="220"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20" w:after="20" w:line="220"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20" w:after="20" w:line="220"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20" w:after="20" w:line="220"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20" w:after="20" w:line="220"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20" w:after="20" w:line="220"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20" w:after="20" w:line="220" w:lineRule="auto"/>
        <w:jc w:val="left"/>
        <w:rPr/>
      </w:pPr>
      <w:r>
        <w:rPr>
          <w:rFonts w:ascii="Georgia" w:hAnsi="Georgia" w:cs="Georgia" w:eastAsia="Georgia"/>
          <w:b/>
          <w:bCs w:val="1"/>
          <w:sz w:val="22"/>
          <w:szCs w:val="22"/>
          <w:rtl w:val="0"/>
        </w:rPr>
        <w:t>Functions (retained hedges)</w:t>
      </w:r>
      <w:r>
        <w:rPr>
          <w:rtl w:val="0"/>
          <w:sz w:val="22"/>
          <w:szCs w:val="22"/>
        </w:rPr>
      </w:r>
    </w:p>
    <w:p w:rsidR="00000000" w:rsidDel="00000000" w:rsidP="00000000" w:rsidRDefault="00000000" w:rsidRPr="00000000" w14:paraId="000001AA">
      <w:pPr>
        <w:spacing w:before="20" w:after="20" w:line="220" w:lineRule="auto"/>
        <w:ind w:left="240" w:firstLine="720"/>
        <w:jc w:val="both"/>
        <w:rPr/>
      </w:pPr>
      <w:r>
        <w:rPr>
          <w:rFonts w:ascii="Georgia" w:hAnsi="Georgia" w:cs="Georgia" w:eastAsia="Georgia"/>
          <w:b w:val="0"/>
          <w:bCs w:val="0"/>
          <w:sz w:val="22"/>
          <w:szCs w:val="22"/>
          <w:rtl w:val="0"/>
        </w:rPr>
        <w:t>• EC: uncertainty about whether a claim is true.</w:t>
      </w:r>
      <w:r>
        <w:rPr>
          <w:rtl w:val="0"/>
          <w:sz w:val="22"/>
          <w:szCs w:val="22"/>
        </w:rPr>
      </w:r>
    </w:p>
    <w:p w:rsidR="00000000" w:rsidDel="00000000" w:rsidP="00000000" w:rsidRDefault="00000000" w:rsidRPr="00000000" w14:paraId="000001AB">
      <w:pPr>
        <w:spacing w:before="20" w:after="20" w:line="220" w:lineRule="auto"/>
        <w:ind w:left="240" w:firstLine="720"/>
        <w:jc w:val="both"/>
        <w:rPr/>
      </w:pPr>
      <w:r>
        <w:rPr>
          <w:rFonts w:ascii="Georgia" w:hAnsi="Georgia" w:cs="Georgia" w:eastAsia="Georgia"/>
          <w:b w:val="0"/>
          <w:bCs w:val="0"/>
          <w:sz w:val="22"/>
          <w:szCs w:val="22"/>
          <w:rtl w:val="0"/>
        </w:rPr>
        <w:t>• P: interpersonal softening or deference, not genuine doubt.</w:t>
      </w:r>
      <w:r>
        <w:rPr>
          <w:rtl w:val="0"/>
          <w:sz w:val="22"/>
          <w:szCs w:val="22"/>
        </w:rPr>
      </w:r>
    </w:p>
    <w:p w:rsidR="00000000" w:rsidDel="00000000" w:rsidP="00000000" w:rsidRDefault="00000000" w:rsidRPr="00000000" w14:paraId="000001AC">
      <w:pPr>
        <w:spacing w:before="20" w:after="20" w:line="220" w:lineRule="auto"/>
        <w:ind w:left="240" w:firstLine="0"/>
        <w:jc w:val="both"/>
        <w:rPr/>
      </w:pPr>
      <w:r>
        <w:rPr>
          <w:rFonts w:ascii="Georgia" w:hAnsi="Georgia" w:cs="Georgia" w:eastAsia="Georgia"/>
          <w:b w:val="0"/>
          <w:bCs w:val="0"/>
          <w:sz w:val="22"/>
          <w:szCs w:val="22"/>
          <w:rtl w:val="0"/>
        </w:rPr>
        <w:t>• DO: text framing or reader guidance (pure findings framing is logged only, not retained).</w:t>
      </w:r>
      <w:r>
        <w:rPr>
          <w:rtl w:val="0"/>
          <w:sz w:val="22"/>
          <w:szCs w:val="22"/>
        </w:rPr>
      </w:r>
    </w:p>
    <w:p w:rsidR="00000000" w:rsidDel="00000000" w:rsidP="00000000" w:rsidRDefault="00000000" w:rsidRPr="00000000" w14:paraId="000001AD">
      <w:pPr>
        <w:spacing w:before="20" w:after="20" w:line="220" w:lineRule="auto"/>
        <w:jc w:val="left"/>
        <w:rPr/>
      </w:pPr>
      <w:r>
        <w:rPr>
          <w:rFonts w:ascii="Georgia" w:hAnsi="Georgia" w:cs="Georgia" w:eastAsia="Georgia"/>
          <w:b/>
          <w:bCs w:val="1"/>
          <w:sz w:val="22"/>
          <w:szCs w:val="22"/>
          <w:rtl w:val="0"/>
        </w:rPr>
        <w:t>Core rules</w:t>
      </w:r>
      <w:r>
        <w:rPr>
          <w:rtl w:val="0"/>
          <w:sz w:val="22"/>
          <w:szCs w:val="22"/>
        </w:rPr>
      </w:r>
    </w:p>
    <w:p w:rsidR="00000000" w:rsidDel="00000000" w:rsidP="00000000" w:rsidRDefault="00000000" w:rsidRPr="00000000" w14:paraId="000001AE">
      <w:pPr>
        <w:spacing w:before="20" w:after="20" w:line="220" w:lineRule="auto"/>
        <w:ind w:left="240" w:firstLine="720"/>
        <w:jc w:val="both"/>
        <w:rPr/>
      </w:pPr>
      <w:r>
        <w:rPr>
          <w:rFonts w:ascii="Georgia" w:hAnsi="Georgia" w:cs="Georgia" w:eastAsia="Georgia"/>
          <w:rtl w:val="0"/>
          <w:b w:val="0"/>
          <w:i/>
          <w:iCs/>
          <w:sz w:val="22"/>
          <w:szCs w:val="22"/>
        </w:rPr>
        <w:t>• suggest/indicate: finding → hedge. Recommendation → FP-Rec.</w:t>
      </w:r>
      <w:r>
        <w:rPr>
          <w:rtl w:val="0"/>
          <w:rFonts w:ascii="Georgia" w:hAnsi="Georgia"/>
          <w:sz w:val="22"/>
          <w:szCs w:val="22"/>
          <w:i/>
          <w:iCs/>
        </w:rPr>
      </w:r>
    </w:p>
    <w:p w:rsidR="00000000" w:rsidDel="00000000" w:rsidP="00000000" w:rsidRDefault="00000000" w:rsidRPr="00000000" w14:paraId="000001AF">
      <w:pPr>
        <w:spacing w:before="20" w:after="20" w:line="220" w:lineRule="auto"/>
        <w:ind w:left="240" w:firstLine="720"/>
        <w:jc w:val="both"/>
        <w:rPr/>
      </w:pPr>
      <w:r>
        <w:rPr>
          <w:rFonts w:ascii="Georgia" w:hAnsi="Georgia" w:cs="Georgia" w:eastAsia="Georgia"/>
          <w:rtl w:val="0"/>
          <w:b w:val="0"/>
          <w:i/>
          <w:iCs/>
          <w:sz w:val="22"/>
          <w:szCs w:val="22"/>
        </w:rPr>
        <w:t>• can/may: possibility → hedge. Capability → FP-Cap.</w:t>
      </w:r>
      <w:r>
        <w:rPr>
          <w:rtl w:val="0"/>
          <w:rFonts w:ascii="Georgia" w:hAnsi="Georgia"/>
          <w:sz w:val="22"/>
          <w:szCs w:val="22"/>
          <w:i/>
          <w:iCs/>
        </w:rPr>
      </w:r>
    </w:p>
    <w:p w:rsidR="00000000" w:rsidDel="00000000" w:rsidP="00000000" w:rsidRDefault="00000000" w:rsidRPr="00000000" w14:paraId="000001B0">
      <w:pPr>
        <w:spacing w:before="20" w:after="20" w:line="220" w:lineRule="auto"/>
        <w:ind w:left="240" w:firstLine="720"/>
        <w:jc w:val="both"/>
        <w:rPr/>
      </w:pPr>
      <w:r>
        <w:rPr>
          <w:rFonts w:ascii="Georgia" w:hAnsi="Georgia" w:cs="Georgia" w:eastAsia="Georgia"/>
          <w:rtl w:val="0"/>
          <w:b w:val="0"/>
          <w:i/>
          <w:iCs/>
          <w:sz w:val="22"/>
          <w:szCs w:val="22"/>
        </w:rPr>
        <w:t>• generally/typically: limits a claim → hedge. Procedural norm → FP-Proc.</w:t>
      </w:r>
      <w:r>
        <w:rPr>
          <w:rtl w:val="0"/>
          <w:rFonts w:ascii="Georgia" w:hAnsi="Georgia"/>
          <w:sz w:val="22"/>
          <w:szCs w:val="22"/>
          <w:i/>
          <w:iCs/>
        </w:rPr>
      </w:r>
    </w:p>
    <w:p w:rsidR="00000000" w:rsidDel="00000000" w:rsidP="00000000" w:rsidRDefault="00000000" w:rsidRPr="00000000" w14:paraId="000001B1">
      <w:pPr>
        <w:spacing w:before="20" w:after="20" w:line="220" w:lineRule="auto"/>
        <w:ind w:left="240" w:firstLine="0"/>
        <w:jc w:val="both"/>
        <w:rPr/>
      </w:pPr>
      <w:r>
        <w:rPr>
          <w:rFonts w:ascii="Georgia" w:hAnsi="Georgia" w:cs="Georgia" w:eastAsia="Georgia"/>
          <w:rtl w:val="0"/>
          <w:b w:val="0"/>
          <w:i/>
          <w:iCs/>
          <w:sz w:val="22"/>
          <w:szCs w:val="22"/>
        </w:rPr>
        <w:t>• appear/seem: uncertainty about a result → hedge. Location pointer → FP-Gen.</w:t>
      </w:r>
      <w:r>
        <w:rPr>
          <w:rtl w:val="0"/>
          <w:rFonts w:ascii="Georgia" w:hAnsi="Georgia"/>
          <w:sz w:val="22"/>
          <w:szCs w:val="22"/>
          <w:i/>
          <w:iCs/>
        </w:rPr>
      </w:r>
    </w:p>
    <w:p w:rsidR="00000000" w:rsidDel="00000000" w:rsidP="00000000" w:rsidRDefault="00000000" w:rsidRPr="00000000" w14:paraId="000001B2">
      <w:pPr>
        <w:spacing w:before="20" w:after="20" w:line="220" w:lineRule="auto"/>
        <w:jc w:val="left"/>
        <w:rPr/>
      </w:pPr>
      <w:r>
        <w:rPr>
          <w:rFonts w:ascii="Georgia" w:hAnsi="Georgia" w:cs="Georgia" w:eastAsia="Georgia"/>
          <w:b/>
          <w:bCs w:val="1"/>
          <w:sz w:val="22"/>
          <w:szCs w:val="22"/>
          <w:rtl w:val="0"/>
        </w:rPr>
        <w:t>Steps 1–3 (short)</w:t>
      </w:r>
      <w:r>
        <w:rPr>
          <w:rtl w:val="0"/>
          <w:sz w:val="22"/>
          <w:szCs w:val="22"/>
        </w:rPr>
      </w:r>
    </w:p>
    <w:p w:rsidR="00000000" w:rsidDel="00000000" w:rsidP="00000000" w:rsidRDefault="00000000" w:rsidRPr="00000000" w14:paraId="000001B3">
      <w:pPr>
        <w:spacing w:before="20" w:after="20" w:line="220" w:lineRule="auto"/>
        <w:jc w:val="both"/>
        <w:rPr/>
        <w:ind w:left="360" w:hanging="360"/>
      </w:pPr>
      <w:r>
        <w:rPr>
          <w:rFonts w:ascii="Georgia" w:hAnsi="Georgia" w:cs="Georgia" w:eastAsia="Georgia"/>
          <w:i w:val="0"/>
          <w:sz w:val="22"/>
          <w:szCs w:val="22"/>
          <w:rtl w:val="0"/>
          <w:b w:val="0"/>
          <w:bCs w:val="0"/>
        </w:rPr>
        <w:t>• Step 1: wide-net candidates (hedge-like, findings framing, FP-looking forms). • Step 2: retain only claim mitigation. Pure findings framing → DO log (outside the 65). FP = capability, recommendation, procedure, topic-naming, non-claim sequencing. • Step 3: label retained hedges EC/P/DO. Working Test supports EC only. • Never retained: ability, procedural must/should, deontic recommendations (FP-Rec).</w:t>
      </w:r>
      <w:r>
        <w:rPr>
          <w:rtl w:val="0"/>
          <w:sz w:val="22"/>
          <w:szCs w:val="22"/>
        </w:rPr>
      </w:r>
    </w:p>
    <w:p>
      <w:pPr>
        <w:spacing w:line="220" w:lineRule="auto" w:before="20" w:after="20"/>
      </w:pPr>
      <w:r/>
    </w:p>
    <w:p w:rsidR="00000000" w:rsidDel="00000000" w:rsidP="00000000" w:rsidRDefault="00000000" w:rsidRPr="00000000" w14:paraId="00000233">
      <w:pPr>
        <w:spacing w:before="60" w:after="40" w:line="220" w:lineRule="auto"/>
        <w:jc w:val="left"/>
        <w:rPr/>
      </w:pPr>
      <w:r>
        <w:rPr>
          <w:rFonts w:ascii="Georgia" w:hAnsi="Georgia" w:cs="Georgia" w:eastAsia="Georgia"/>
          <w:b/>
          <w:bCs w:val="1"/>
          <w:i w:val="0"/>
          <w:iCs w:val="0"/>
          <w:sz w:val="22"/>
          <w:szCs w:val="24"/>
          <w:rtl w:val="0"/>
        </w:rPr>
        <w:t>QUICK-REFERENCE LEGEND</w:t>
      </w:r>
      <w:r>
        <w:rPr>
          <w:rtl w:val="0"/>
        </w:rPr>
      </w:r>
    </w:p>
    <w:p w:rsidR="00000000" w:rsidDel="00000000" w:rsidP="00000000" w:rsidRDefault="00000000" w:rsidRPr="00000000" w14:paraId="00000234">
      <w:pPr>
        <w:spacing w:before="20" w:after="20" w:line="220"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tblHeader/>
        </w:trPr>
        <w:tc>
          <w:tcPr>
            <w:tcBorders>
              <w:bottom w:color="000000" w:space="0" w:sz="4" w:val="single"/>
            </w:tcBorders>
            <w:shd w:fill="f2f4f6" w:val="clear"/>
          </w:tcPr>
          <w:p w:rsidR="00000000" w:rsidDel="00000000" w:rsidP="00000000" w:rsidRDefault="00000000" w:rsidRPr="00000000" w14:paraId="00000235">
            <w:pPr>
              <w:spacing w:before="20" w:after="20" w:line="22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2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trPr>
        <w:tc>
          <w:tcPr/>
          <w:p w:rsidR="00000000" w:rsidDel="00000000" w:rsidP="00000000" w:rsidRDefault="00000000" w:rsidRPr="00000000" w14:paraId="00000237">
            <w:pPr>
              <w:spacing w:before="20" w:after="20" w:line="22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20" w:after="20" w:line="22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20" w:after="20" w:line="22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20" w:after="20" w:line="22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20" w:after="20" w:line="22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20" w:after="20" w:line="22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20" w:after="20" w:line="22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trPr>
        <w:tc>
          <w:tcPr/>
          <w:p w:rsidR="00000000" w:rsidDel="00000000" w:rsidP="00000000" w:rsidRDefault="00000000" w:rsidRPr="00000000" w14:paraId="0000023E">
            <w:pPr>
              <w:spacing w:before="20" w:after="20" w:line="22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20" w:after="20" w:line="22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20" w:after="20" w:line="22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20" w:after="20" w:line="22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20" w:after="20" w:line="220" w:lineRule="auto"/>
        <w:jc w:val="left"/>
        <w:rPr/>
      </w:pPr>
      <w:r>
        <w:rPr>
          <w:rFonts w:ascii="Georgia" w:hAnsi="Georgia" w:cs="Georgia" w:eastAsia="Georgia"/>
          <w:b/>
          <w:bCs w:val="1"/>
          <w:i w:val="0"/>
          <w:iCs w:val="0"/>
          <w:sz w:val="22"/>
          <w:szCs w:val="24"/>
          <w:rtl w:val="0"/>
        </w:rPr>
        <w:t>COMBINED EXAMPLE</w:t>
      </w:r>
      <w:r>
        <w:rPr>
          <w:rtl w:val="0"/>
        </w:rPr>
      </w:r>
    </w:p>
    <w:p w:rsidR="00000000" w:rsidDel="00000000" w:rsidP="00000000" w:rsidRDefault="00000000" w:rsidRPr="00000000" w14:paraId="00000244">
      <w:pPr>
        <w:spacing w:before="20" w:after="20" w:line="220" w:lineRule="auto"/>
        <w:ind w:firstLine="720"/>
        <w:jc w:val="both"/>
        <w:rPr/>
      </w:pPr>
      <w:r>
        <w:rPr>
          <w:rFonts w:ascii="Georgia" w:hAnsi="Georgia" w:cs="Georgia" w:eastAsia="Georgia"/>
          <w:b w:val="0"/>
          <w:bCs w:val="0"/>
          <w:i w:val="1"/>
          <w:iCs w:val="1"/>
          <w:color w:val="000000"/>
          <w:sz w:val="22"/>
          <w:szCs w:val="22"/>
          <w:rtl w:val="0"/>
        </w:rPr>
        <w:t>“The results suggested (EC) that extracts are potential (EC) alternative stains. PCR can (FP-Cap) also detect low concentrations.” Type colors on tokens. (EC) orange. FP struck. potential retained in results/conclusion only.</w:t>
      </w:r>
      <w:r>
        <w:rPr>
          <w:rFonts w:ascii="Georgia" w:cs="Georgia" w:eastAsia="Georgia" w:hAnsi="Georgia"/>
          <w:b w:val="0"/>
          <w:bCs w:val="0"/>
          <w:i w:val="0"/>
          <w:iCs w:val="0"/>
          <w:color w:val="000000"/>
          <w:sz w:val="22"/>
          <w:szCs w:val="22"/>
          <w:rtl w:val="0"/>
        </w:rPr>
      </w:r>
      <w:r>
        <w:rPr>
          <w:rFonts w:ascii="Georgia" w:cs="Georgia" w:eastAsia="Georgia" w:hAnsi="Georgia"/>
          <w:b w:val="1"/>
          <w:bCs w:val="1"/>
          <w:color w:val="ffffff"/>
          <w:sz w:val="22"/>
          <w:szCs w:val="22"/>
          <w:highlight w:val="red"/>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ed7d31"/>
          <w:sz w:val="22"/>
          <w:szCs w:val="22"/>
          <w:rtl w:val="0"/>
        </w:rPr>
      </w:r>
      <w:r>
        <w:rPr>
          <w:rFonts w:ascii="Georgia" w:hAnsi="Georgia" w:cs="Georgia" w:eastAsia="Georgia"/>
          <w:color w:val="000000"/>
        </w:rPr>
      </w:r>
      <w:r>
        <w:rPr>
          <w:rFonts w:ascii="Georgia" w:hAnsi="Georgia" w:cs="Georgia" w:eastAsia="Georgia"/>
          <w:highlight w:val="red"/>
          <w:color w:val="ffffff"/>
        </w:rPr>
      </w:r>
      <w:r>
        <w:rPr>
          <w:rFonts w:ascii="Georgia" w:hAnsi="Georgia" w:cs="Georgia" w:eastAsia="Georgia"/>
          <w:color w:val="000000"/>
        </w:rPr>
      </w:r>
      <w:r>
        <w:rPr>
          <w:rFonts w:ascii="Georgia" w:hAnsi="Georgia" w:cs="Georgia" w:eastAsia="Georgia"/>
          <w:color w:val="ed7d31"/>
        </w:rPr>
      </w:r>
      <w:r>
        <w:rPr>
          <w:rFonts w:ascii="Georgia" w:hAnsi="Georgia" w:cs="Georgia" w:eastAsia="Georgia"/>
          <w:color w:val="00000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45">
      <w:pPr>
        <w:spacing w:before="20" w:after="20" w:line="220" w:lineRule="auto"/>
        <w:ind w:firstLine="720"/>
        <w:jc w:val="both"/>
        <w:rPr/>
      </w:pPr>
      <w:r>
        <w:rPr>
          <w:rFonts w:ascii="Georgia" w:hAnsi="Georgia" w:cs="Georgia" w:eastAsia="Georgia"/>
          <w:b w:val="0"/>
          <w:i w:val="1"/>
          <w:iCs w:val="1"/>
          <w:color w:val="404040"/>
          <w:sz w:val="22"/>
          <w:rtl w:val="0"/>
        </w:rPr>
        <w:t>• Full rules in Full Codebook (from next page).</w:t>
      </w:r>
      <w:r>
        <w:rPr>
          <w:rFonts w:ascii="Georgia" w:cs="Georgia" w:eastAsia="Georgia" w:hAnsi="Georgia"/>
          <w:b w:val="0"/>
          <w:bCs w:val="0"/>
          <w:i w:val="1"/>
          <w:iCs w:val="1"/>
          <w:color w:val="404040"/>
          <w:sz w:val="22"/>
          <w:szCs w:val="22"/>
          <w:rtl w:val="0"/>
        </w:rPr>
      </w:r>
      <w:r>
        <w:rPr>
          <w:rtl w:val="0"/>
        </w:rPr>
      </w:r>
    </w:p>
    <w:p w:rsidR="00000000" w:rsidDel="00000000" w:rsidP="00000000" w:rsidRDefault="00000000" w:rsidRPr="00000000" w14:paraId="000001B4">
      <w:pPr>
        <w:spacing w:before="0" w:after="60" w:line="276" w:lineRule="auto"/>
        <w:jc w:val="left"/>
        <w:rPr/>
      </w:pPr>
      <w:r>
        <w:br w:type="page"/>
      </w:r>
      <w:r>
        <w:rPr>
          <w:rFonts w:ascii="Georgia" w:hAnsi="Georgia" w:cs="Georgia" w:eastAsia="Georgia"/>
          <w:b/>
          <w:bCs w:val="1"/>
          <w:sz w:val="22"/>
          <w:szCs w:val="24"/>
          <w:rtl w:val="0"/>
        </w:rPr>
        <w:t>FULL CODEBOOK</w:t>
      </w:r>
      <w:r>
        <w:rPr>
          <w:rtl w:val="0"/>
        </w:rPr>
      </w:r>
    </w:p>
    <w:p w:rsidR="00000000" w:rsidDel="00000000" w:rsidP="00000000" w:rsidRDefault="00000000" w:rsidRPr="00000000" w14:paraId="000001B5">
      <w:pPr>
        <w:spacing w:before="120" w:after="60" w:line="360" w:lineRule="auto"/>
        <w:jc w:val="left"/>
        <w:rPr/>
      </w:pPr>
      <w:r>
        <w:rPr>
          <w:rFonts w:ascii="Georgia" w:hAnsi="Georgia" w:cs="Georgia" w:eastAsia="Georgia"/>
          <w:b/>
          <w:bCs w:val="1"/>
          <w:i w:val="0"/>
          <w:iCs w:val="0"/>
          <w:sz w:val="22"/>
          <w:szCs w:val="22"/>
          <w:rtl w:val="0"/>
        </w:rPr>
        <w:t>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rPr>
      </w:r>
    </w:p>
    <w:p w:rsidR="00000000" w:rsidDel="00000000" w:rsidP="00000000" w:rsidRDefault="00000000" w:rsidRPr="00000000" w14:paraId="000001B8">
      <w:pPr>
        <w:spacing w:before="120" w:after="60" w:line="360" w:lineRule="auto"/>
        <w:jc w:val="left"/>
        <w:rPr/>
      </w:pPr>
      <w:r>
        <w:rPr>
          <w:rFonts w:ascii="Georgia" w:hAnsi="Georgia" w:cs="Georgia" w:eastAsia="Georgia"/>
          <w:i w:val="0"/>
          <w:iCs w:val="0"/>
          <w:sz w:val="22"/>
          <w:szCs w:val="24"/>
          <w:rtl w:val="0"/>
          <w:b/>
          <w:bCs w:val="0"/>
        </w:rPr>
        <w:t>STEP 1, STEP 2, STEP 3,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rPr>
      </w:r>
    </w:p>
    <w:p w:rsidR="00000000" w:rsidDel="00000000" w:rsidP="00000000" w:rsidRDefault="00000000" w:rsidRPr="00000000" w14:paraId="00000083">
      <w:pPr>
        <w:spacing w:before="120" w:after="60"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spacing w:before="120" w:after="60" w:line="360" w:lineRule="auto"/>
        <w:jc w:val="left"/>
        <w:rPr/>
      </w:pPr>
      <w:r>
        <w:br w:type="page"/>
      </w: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120" w:after="60" w:line="360" w:lineRule="auto"/>
        <w:jc w:val="left"/>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p w:rsidR="00000000" w:rsidDel="00000000" w:rsidP="00000000" w:rsidRDefault="00000000" w:rsidRPr="00000000" w14:paraId="0000026D">
      <w:pPr>
        <w:spacing w:before="0" w:after="0" w:line="240" w:lineRule="auto"/>
        <w:ind w:firstLine="720"/>
        <w:jc w:val="both"/>
        <w:rPr/>
      </w:pPr>
      <w:r>
        <w:rPr>
          <w:rFonts w:ascii="Georgia" w:hAnsi="Georgia" w:cs="Georgia" w:eastAsia="Georgia"/>
          <w:b w:val="0"/>
          <w:bCs w:val="0"/>
          <w:i w:val="0"/>
          <w:iCs w:val="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rsidR="00000000" w:rsidDel="00000000" w:rsidP="00000000" w:rsidRDefault="00000000" w:rsidRPr="00000000" w14:paraId="00000247">
      <w:pPr>
        <w:spacing w:before="40" w:after="20" w:line="276" w:lineRule="auto"/>
        <w:jc w:val="left"/>
        <w:rPr/>
      </w:pPr>
      <w:r>
        <w:rPr>
          <w:rFonts w:ascii="Georgia" w:hAnsi="Georgia" w:cs="Georgia" w:eastAsia="Georgia"/>
          <w:b/>
          <w:bCs w:val="1"/>
          <w:i w:val="0"/>
          <w:iCs w:val="0"/>
          <w:sz w:val="22"/>
          <w:szCs w:val="24"/>
          <w:rtl w:val="0"/>
        </w:rPr>
        <w:t>CODING SHEET COLUMNS</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20" w:after="20" w:line="276" w:lineRule="auto"/>
        <w:ind w:firstLine="720"/>
        <w:jc w:val="both"/>
        <w:rPr/>
      </w:pPr>
      <w:r>
        <w:rPr>
          <w:rFonts w:ascii="Georgia" w:hAnsi="Georgia" w:cs="Georgia" w:eastAsia="Georgia"/>
          <w:b w:val="0"/>
          <w:bCs w:val="0"/>
          <w:i w:val="0"/>
          <w:iCs w:val="0"/>
          <w:sz w:val="22"/>
          <w:szCs w:val="22"/>
          <w:rtl w:val="0"/>
        </w:rPr>
        <w:t>• Highlighted abstract = primary record. Spreadsheet = tallying and analysis only.</w:t>
      </w:r>
      <w:r>
        <w:rPr>
          <w:rtl w:val="0"/>
        </w:rPr>
      </w:r>
    </w:p>
    <w:p w:rsidR="00000000" w:rsidDel="00000000" w:rsidP="00000000" w:rsidRDefault="00000000" w:rsidRPr="00000000" w14:paraId="0000025A">
      <w:pPr>
        <w:spacing w:before="20" w:after="20" w:line="276" w:lineRule="auto"/>
        <w:ind w:firstLine="720"/>
        <w:jc w:val="both"/>
        <w:rPr/>
      </w:pPr>
      <w:r>
        <w:rPr>
          <w:rFonts w:ascii="Georgia" w:hAnsi="Georgia" w:cs="Georgia" w:eastAsia="Georgia"/>
          <w:b w:val="0"/>
          <w:bCs w:val="0"/>
          <w:i w:val="1"/>
          <w:iCs w:val="1"/>
          <w:color w:val="000000"/>
          <w:sz w:val="22"/>
          <w:szCs w:val="22"/>
          <w:rtl w:val="0"/>
        </w:rPr>
        <w:t>• Codes: Acs1–Acs10, Aas1–Aas10 (Agriculture). VM1–VM20. B1–B20 (Biology).</w:t>
      </w:r>
      <w:r>
        <w:rPr>
          <w:rtl w:val="0"/>
        </w:rPr>
      </w:r>
    </w:p>
    <w:p w:rsidR="00000000" w:rsidDel="00000000" w:rsidP="00000000" w:rsidRDefault="00000000" w:rsidRPr="00000000" w14:paraId="0000025D">
      <w:pPr>
        <w:spacing w:before="20" w:after="2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rPr>
      </w:r>
    </w:p>
    <w:p w:rsidR="00000000" w:rsidDel="00000000" w:rsidP="00000000" w:rsidRDefault="00000000" w:rsidRPr="00000000" w14:paraId="0000026C">
      <w:pPr>
        <w:spacing w:before="20" w:after="20" w:line="276" w:lineRule="auto"/>
        <w:jc w:val="left"/>
        <w:rPr/>
      </w:pPr>
      <w:r>
        <w:rPr>
          <w:rFonts w:ascii="Georgia" w:hAnsi="Georgia" w:cs="Georgia" w:eastAsia="Georgia"/>
          <w:b w:val="0"/>
          <w:bCs w:val="0"/>
          <w:i w:val="1"/>
          <w:iCs w:val="1"/>
          <w:sz w:val="22"/>
          <w:szCs w:val="24"/>
          <w:rtl w:val="0"/>
        </w:rPr>
        <w:t>• Optional Rejected Candidates tab for FP traceability.</w:t>
      </w:r>
      <w:r>
        <w:rPr>
          <w:rtl w:val="0"/>
        </w:rPr>
      </w:r>
    </w:p>
    <w:p>
      <w:pPr>
        <w:spacing w:line="240" w:lineRule="auto" w:before="0" w:after="0"/>
      </w:pPr>
      <w:r>
        <w:br w:type="page"/>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