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w:t>
      </w:r>
      <w:r>
        <w:rPr>
          <w:rFonts w:ascii="Georgia" w:hAnsi="Georgia" w:cs="Georgia" w:eastAsia="Georgia"/>
          <w:i w:val="0"/>
          <w:iCs w:val="0"/>
          <w:sz w:val="22"/>
          <w:szCs w:val="22"/>
          <w:rtl w:val="0"/>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consists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retained hedges were coded Epistemic Caution (EC). No Politeness/Deference (P) or Discourse Organization (DO) hedges were identified. Discourse connectors such as Hence, Thus, Therefore, and In conclusion appear in the corpus and are tagged (DO) in Appendix C but are not counted as hedges. Table 6 presents the function distribution.</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and whether null write-ups invite different hedging choices, controlling for the entanglement of outcome type and discipline in this sample.</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