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so the cross-tab does not differentiate functions; RQ4 is answered from frequency and functional patterns as a whole, not from type-by-function variation.</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refine the coding scheme and establish decision rules for ambiguous cases (see Appendix A).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hedge tokens in the corpus served the function of Epistemic Caution (EC). No instances of Politeness/Deference (P) or Discourse Organization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w:t>
            </w:r>
            <w:r>
              <w:rPr>
                <w:rFonts w:ascii="Georgia" w:cs="Georgia" w:eastAsia="Georgia" w:hAnsi="Georgia"/>
                <w:b w:val="0"/>
                <w:bCs w:val="0"/>
                <w:i w:val="0"/>
                <w:iCs w:val="0"/>
                <w:sz w:val="18"/>
                <w:szCs w:val="18"/>
                <w:rtl w:val="0"/>
                <w:color w:val="00B0F0"/>
              </w:rPr>
              <w:t xml:space="preserve">(DO)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formulaic—a limited set of frames and one function—rather than finely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