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b. Corpus Construction.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(8 hedges) uses a repeated frame twice with light variation. The writer reports that statistical significance was not observed, then hedges that the treatment could still offer potential benefits, a null-result rescue pattern examined further in Part IV. Acs2 is retained in all counts; sensitivity checks that exclude it are reported separately where the Agriculture–Biology ranking is discussed.</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w:t>
      </w:r>
      <w:r>
        <w:rPr>
          <w:rtl w:val="0"/>
        </w:rPr>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3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Unhedged sites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Abstracts within a program may share advisers, so observations are not fully independent, and within-discipline spread remains larger than the gaps between means. With a small, zero-inflated sample and no multiple-comparison correction, the result is treated as exploratory.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(Part IV; the coding spreadsheet)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retained hedges were coded Epistemic Caution (EC). No Politeness/Deference (P) or Discourse Organization (DO) hedges were identified. Discourse connectors such as Hence, Thus, Therefore, and In conclusion appear in the corpus and are tagged (DO) in Appendix C but are not counted as hedges. Table 5 presents the function distribution.</w:t>
      </w:r>
      <w:r>
        <w:rPr>
          <w:rFonts w:ascii="Georgia" w:cs="Georgia" w:eastAsia="Georgia" w:hAnsi="Georgia"/>
          <w:b w:val="0"/>
          <w:bCs w:val="0"/>
          <w:i w:val="0"/>
          <w:iCs w:val="0"/>
          <w:sz w:val="22"/>
          <w:szCs w:val="22"/>
          <w:rtl w:val="0"/>
          <w:color w:val="00B0F0"/>
        </w:rPr>
        <w:t/>
      </w:r>
      <w:r>
        <w:rPr>
          <w:rFonts w:ascii="Georgia" w:cs="Georgia" w:eastAsia="Georgia" w:hAnsi="Georgia"/>
          <w:b w:val="0"/>
          <w:bCs w:val="0"/>
          <w:i w:val="0"/>
          <w:iCs w:val="0"/>
          <w:sz w:val="22"/>
          <w:szCs w:val="22"/>
          <w:rtl w:val="0"/>
        </w:rPr>
        <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The uniform assignment may reflect a restricted repertoire, the compressed abstract genre, the coding scheme, or single-rater interpretation; that limitation is noted in Scope. The narrow functional range is consistent with the restricted set of epistemic devices reported for developing L2 writers (Hyland &amp; Milton, 1997), though in this corpus genre compression and supervisory practice remain the more proximate accounts.</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and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 xml:space="preserve">Table 6</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was coded for all 60 abstracts under five categories (Binary, Continuous, Mixed, Null/NS, Other). Coding used the abstract’s own results language: presence/absence or diagnostic positive/negative counts as Binary; explicit non-significance as Null/NS; means, yields, and rates as Continuous; combinations as Mixed. Table 6 shows the distribution.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is still worth noting on its own terms: the writer reports that statistical significance was not observed, then hedges that the treatment could still offer potential benefits, a rescue framing that matches the introduction’s concern with overclaiming. It cannot support a Null/NS-level claim.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As noted in Scope, 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or rarely require it, that would align with a supervisory-practice account of the low VM density. Parallel work could also compare how often each discipline writes up non-significant findings and whether null write-ups invite different hedging choices, controlling for the entanglement of outcome type and discipline in this sample.</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both"/>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hAnsi="Georgia" w:cs="Georgia" w:eastAsia="Georgia"/>
          <w:rtl w:val="0"/>
          <w:i/>
          <w:iCs/>
          <w:sz w:val="24"/>
          <w:szCs w:val="24"/>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hAnsi="Georgia" w:cs="Georgia" w:eastAsia="Georgia"/>
          <w:rtl w:val="0"/>
          <w:i/>
          <w:iCs/>
          <w:sz w:val="24"/>
          <w:szCs w:val="24"/>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hAnsi="Georgia" w:cs="Georgia" w:eastAsia="Georgia"/>
          <w:rtl w:val="0"/>
          <w:i/>
          <w:iCs/>
          <w:sz w:val="24"/>
          <w:szCs w:val="24"/>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hAnsi="Georgia" w:cs="Georgia" w:eastAsia="Georgia"/>
          <w:rtl w:val="0"/>
          <w:i/>
          <w:iCs/>
          <w:sz w:val="24"/>
          <w:szCs w:val="24"/>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