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content of that frame is consequential: the writer reports that statistical significance was not observed, then hedges that the treatment could still offer potential benefits. That is hedging used to soften or rescue a null result—the overclaiming risk this study's introduction identifies—not merely density inflation.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Times New Roman" w:cs="Times New Roman" w:eastAsia="Georgia" w:hAnsi="Times New Roman"/>
          <w:b w:val="0"/>
          <w:bCs w:val="1"/>
          <w:i w:val="0"/>
          <w:iCs w:val="0"/>
          <w:sz w:val="22"/>
          <w:szCs w:val="22"/>
          <w:rtl w:val="0"/>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Times New Roman" w:cs="Times New Roman" w:eastAsia="Georgia" w:hAnsi="Times New Roman"/>
          <w:b w:val="0"/>
          <w:bCs w:val="0"/>
          <w:i w:val="0"/>
          <w:iCs w:val="0"/>
          <w:sz w:val="22"/>
          <w:szCs w:val="22"/>
          <w:rtl w:val="0"/>
        </w:rPr>
        <w:t>The distribution of hedge types shows cross-disciplinary differences, most clearly in Veterinary Medicine’s small total and low modal share.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Times New Roman" w:cs="Times New Roman" w:eastAsia="Georgia" w:hAnsi="Times New Roman"/>
          <w:b w:val="0"/>
          <w:bCs w:val="0"/>
          <w:i w:val="0"/>
          <w:iCs w:val="0"/>
          <w:sz w:val="22"/>
          <w:szCs w:val="22"/>
          <w:rtl w:val="0"/>
        </w:rPr>
        <w:t>Table 3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Times New Roman" w:cs="Times New Roman" w:eastAsia="Georgia" w:hAnsi="Times New Roman"/>
          <w:b w:val="0"/>
          <w:bCs w:val="0"/>
          <w:i w:val="0"/>
          <w:iCs w:val="0"/>
          <w:sz w:val="22"/>
          <w:szCs w:val="22"/>
          <w:rtl w:val="0"/>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Times New Roman" w:cs="Times New Roman" w:eastAsia="Georgia" w:hAnsi="Times New Roman"/>
          <w:b w:val="0"/>
          <w:bCs w:val="0"/>
          <w:i w:val="0"/>
          <w:iCs w:val="0"/>
          <w:sz w:val="22"/>
          <w:szCs w:val="22"/>
          <w:rtl w:val="0"/>
        </w:rPr>
        <w:t>Cross-disciplinary comparison shows differences in hedge density, driven mainly by Veterinary Medicine’s lower rate.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Kruskal-Wallis assumes independent observations; abstracts within a program may be clustered by adviser, so discipline is partly confounded with adviser pool.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Times New Roman" w:hAnsi="Times New Roman" w:cs="Times New Roman"/>
          <w:b w:val="0"/>
          <w:sz w:val="22"/>
          <w:rtl w:val="0"/>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 xml:space="preserve">Table 6</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 separate pattern in the same table is worth noting: Agriculture accounts for 14 of 20 Null/NS abstracts, against 2 of 20 in VM, and those Agriculture Null/NS texts average about 1.5 hedges. Acs2 illustrates how a non-significant finding can still attract hedges that keep possible benefits in view; one abstract cannot establish a rule. With small cells, both the VM reading and the Null/NS share remain suggestive.</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differentiation, mainly Veterinary Medicine. Agriculture’s edge over Biology is modest and outlier-sensitive. The data cannot separate field norms, adviser practice, and outcome type. Statistical evidence is exploratory (Kruskal-Wallis p = .033, no multiple-comparison correction)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both"/>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