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Discourse Organization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Step 3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In practice, the coding scheme was adapted from Hyland (1998) as the type instrument and operationalized through the decision rules in Appendix A. Coding followed three steps after a holistic reading of each abstract. First, Step 1 (candidate tagging) cast a wide net: hedge-like forms, findings framing or sequencing, and forms that might later prove to be false positives were marked for inspection. This step did not yet count hedges. Second, each candidate was sorted at Step 2. A token entered the retained hedge set only if removing it made a knowledge claim about findings more categorical or more direct, or softened how that claim was put forward. Capability, recommendation, pure procedure, topic-naming with no claim mitigation, and sequencing of non-claims were rejected as false positives. Pure framing or sequencing of a findings claim, with no change in commitment and no interpersonal softening, was logged as discourse organization only. It did not enter the retained hedge set. Third, Step 3 assigned function labels to retained hedges only: Epistemic Caution, Politeness/Deference, and/or Discourse Organization as co-occurring labels where relevant. The Working Test supported the EC label. Retained tokens were also marked for grammatical type using the Appendix A decision rules. In this corpus all retained hedges were coded Epistemic Caution at Step 3. No P forms appeared in the retained set. Pure DO candidates were logged outside that set. RQ3 reports the functional profile of retained hedges only. RQ4 is answered from frequency patterns together with interpretive reading under the lenses named above.</w:t>
      </w:r>
      <w:r>
        <w:rPr>
          <w:rtl w:val="0"/>
        </w:rPr>
      </w:r>
    </w:p>
    <w:p>
      <w:pPr>
        <w:spacing w:before="0" w:after="0" w:line="480" w:lineRule="auto"/>
        <w:ind w:firstLine="720"/>
        <w:jc w:val="both"/>
        <w:rPr/>
      </w:pPr>
      <w:r>
        <w:rPr>
          <w:rFonts w:ascii="Georgia" w:hAnsi="Georgia" w:cs="Georgia" w:eastAsia="Georgia"/>
          <w:i w:val="0"/>
          <w:sz w:val="22"/>
          <w:szCs w:val="22"/>
          <w:b w:val="0"/>
          <w:bCs w:val="0"/>
        </w:rPr>
        <w:t>Functional labels in this study (Epistemic Caution, Politeness/Deference, and Discourse Organization) are assigned to retained hedges after Step 2. They are not mutually exclusive. Interpersonal or discourse effects can co-occur with epistemic stance on a retained token. Step 1 may include pure findings framing so that discourse organization is inspected rather than ignored. That pure framing fails Step 2 as a hedge because it does not reduce commitment and does not soften interpersonal force. It is recorded as non-hedge organization (including Appendix C connector marks) and sits outside the retained count. The Working Test (does removing the device change commitment to the truth of the proposition?) supports an EC label on retained hedges.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pure DO in that tally is expected under the same rule. The zero for P is the clearer empirical null in this abstract genre.</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Step 3 EC diagnostic, Salager-Meyer (1994) is the Part IV claim-responsibility lens, and Hyland (2005) is the stance lens for implications. DO appears in Figure 1 as a possible function label and logging category in this scheme. It is not treated as one of Hyland’s hedge functions.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pure DO logs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Epistemic Weight,</w:t>
      </w:r>
      <w:r>
        <w:rPr>
          <w:rFonts w:ascii="Georgia" w:hAnsi="Georgia" w:cs="Georgia" w:eastAsia="Georgia"/>
          <w:sz w:val="22"/>
          <w:b w:val="0"/>
          <w:bCs w:val="0"/>
        </w:rPr>
        <w:t xml:space="preserve"> conceptually, is the strength of the writer’s commitment to the truth of a proposition (how certain or tentative the claim is). Operationally, a change in epistemic weight supports an EC function label at Step 3. Step 2 uses the broader force / directness test on knowledge claims (imposition only as interpersonal softening of a claim, not as a directive).</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Hedge Function,</w:t>
      </w:r>
      <w:r>
        <w:rPr>
          <w:rFonts w:ascii="Georgia" w:hAnsi="Georgia" w:cs="Georgia" w:eastAsia="Georgia"/>
          <w:sz w:val="22"/>
          <w:b w:val="0"/>
          <w:bCs w:val="0"/>
        </w:rPr>
        <w:t xml:space="preserve"> conceptually,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Softening,</w:t>
      </w:r>
      <w:r>
        <w:rPr>
          <w:rFonts w:ascii="Georgia" w:hAnsi="Georgia" w:cs="Georgia" w:eastAsia="Georgia"/>
          <w:sz w:val="22"/>
          <w:b w:val="0"/>
          <w:bCs w:val="0"/>
        </w:rPr>
        <w:t xml:space="preserve"> conceptually, is the reduction of force, directness, imposition, or interpersonal impact in a statement. Operationally, Step 2 tracks softening of force or directness on knowledge claims (and interpersonal imposition on how claims are put forward). Step 3 labels retained hedges as epistemic (EC), interpersonal (P), and/or discourse-managing (DO) where co-occurrence applies. Directives remain excluded.</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2"/>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d. Pilot Testing and Reliability Checking. </w:t>
      </w:r>
      <w:r>
        <w:rPr>
          <w:rFonts w:ascii="Georgia" w:hAnsi="Georgia" w:cs="Georgia" w:eastAsia="Georgia"/>
          <w:sz w:val="22"/>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The corpus also yielded 58 false positive tokens, hedge-like words that were rejected under the codebook’s Step 2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Step 2’s force-reduction check as a secondary screen.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Hedge Function Distribution (Among Coded Hedges)</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or Discourse Organization. Under the Step 2 rule, only claim mitigation enters the retained hedge set, so pure findings framing is logged as discourse organization and does not count in the 65. P-only mitigation could in principle have been retained if it softened how a knowledge claim was put forward without changing commitment. In this corpus no such P forms appeared in the retained set. Discourse connectors that only sequence moves were inspected in Step 1 and kept outside the retained count. Genre compression remains a plausible account of the P null, as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3. In this sample no P candidates entered the retained set. Pure findings framing was logged as discourse organization outside that set.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2"/>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240" w:after="240" w:line="240" w:lineRule="auto"/>
        <w:jc w:val="center"/>
        <w:rPr/>
        <w:pageBreakBefore w:val="1"/>
      </w:pPr>
      <w:r>
        <w:rPr>
          <w:rFonts w:ascii="Georgia" w:cs="Georgia" w:eastAsia="Georgia" w:hAnsi="Georgia"/>
          <w:b w:val="1"/>
          <w:bCs w:val="1"/>
          <w:i w:val="0"/>
          <w:iCs w:val="0"/>
          <w:sz w:val="28"/>
          <w:szCs w:val="28"/>
          <w:rtl w:val="0"/>
        </w:rPr>
        <w:t xml:space="preserve">APPENDICES</w:t>
      </w:r>
      <w:r>
        <w:rPr>
          <w:rtl w:val="0"/>
          <w:sz w:val="28"/>
          <w:szCs w:val="28"/>
        </w:rPr>
      </w:r>
    </w:p>
    <w:p w:rsidR="00000000" w:rsidDel="00000000" w:rsidP="00000000" w:rsidRDefault="00000000" w:rsidRPr="00000000" w14:paraId="0000019F">
      <w:pPr>
        <w:spacing w:before="40" w:after="20" w:line="264" w:lineRule="auto"/>
        <w:jc w:val="center"/>
        <w:rPr/>
      </w:pPr>
      <w:r>
        <w:rPr>
          <w:rFonts w:ascii="Georgia" w:cs="Georgia" w:eastAsia="Georgia" w:hAnsi="Georgia"/>
          <w:sz w:val="28"/>
          <w:szCs w:val="22"/>
          <w:rtl w:val="0"/>
          <w:b/>
          <w:bCs/>
        </w:rPr>
        <w:t xml:space="preserve">APPENDIX A: HEDGING CODEBOOK</w:t>
      </w:r>
      <w:r>
        <w:rPr>
          <w:rtl w:val="0"/>
          <w:sz w:val="22"/>
          <w:szCs w:val="22"/>
        </w:rPr>
      </w:r>
    </w:p>
    <w:p w:rsidR="00000000" w:rsidDel="00000000" w:rsidP="00000000" w:rsidRDefault="00000000" w:rsidRPr="00000000" w14:paraId="000001A0">
      <w:pPr>
        <w:spacing w:before="0" w:after="40" w:line="276" w:lineRule="auto"/>
        <w:jc w:val="both"/>
        <w:rPr/>
      </w:pPr>
      <w:r>
        <w:rPr>
          <w:rFonts w:ascii="Georgia" w:hAnsi="Georgia" w:cs="Georgia" w:eastAsia="Georgia"/>
          <w:sz w:val="22"/>
          <w:szCs w:val="22"/>
        </w:rPr>
        <w:t>• Lookup: Quick-Reference + Legend (p. 1). Full Codebook from p. 2. Coding sheet columns at end.</w:t>
      </w:r>
    </w:p>
    <w:p w:rsidR="00000000" w:rsidDel="00000000" w:rsidP="00000000" w:rsidRDefault="00000000" w:rsidRPr="00000000" w14:paraId="000001A2">
      <w:pPr>
        <w:spacing w:before="40" w:after="20" w:line="264" w:lineRule="auto"/>
        <w:jc w:val="left"/>
        <w:rPr/>
      </w:pPr>
      <w:r>
        <w:rPr>
          <w:rFonts w:ascii="Georgia" w:hAnsi="Georgia" w:cs="Georgia" w:eastAsia="Georgia"/>
          <w:sz w:val="22"/>
          <w:szCs w:val="22"/>
          <w:rtl w:val="0"/>
          <w:b/>
          <w:bCs/>
        </w:rPr>
        <w:t>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hAnsi="Georgia" w:cs="Georgia" w:eastAsia="Georgia"/>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0" w:after="0" w:line="264" w:lineRule="auto"/>
        <w:jc w:val="left"/>
        <w:rPr/>
      </w:pPr>
      <w:r>
        <w:rPr>
          <w:rFonts w:ascii="Georgia" w:hAnsi="Georgia" w:cs="Georgia" w:eastAsia="Georgia"/>
          <w:sz w:val="22"/>
          <w:szCs w:val="22"/>
          <w:rtl w:val="0"/>
          <w:b/>
          <w:bCs/>
        </w:rPr>
        <w:t>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hAnsi="Georgia" w:cs="Georgia" w:eastAsia="Georgia"/>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hAnsi="Georgia" w:cs="Georgia" w:eastAsia="Georgia"/>
          <w:i w:val="0"/>
          <w:sz w:val="22"/>
          <w:szCs w:val="22"/>
          <w:rtl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hAnsi="Georgia" w:cs="Georgia" w:eastAsia="Georgia"/>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hAnsi="Georgia" w:cs="Georgia" w:eastAsia="Georgia"/>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0" w:after="0" w:line="264" w:lineRule="auto"/>
        <w:jc w:val="left"/>
        <w:rPr/>
      </w:pPr>
      <w:r>
        <w:rPr>
          <w:rFonts w:ascii="Georgia" w:hAnsi="Georgia" w:cs="Georgia" w:eastAsia="Georgia"/>
          <w:sz w:val="22"/>
          <w:szCs w:val="22"/>
          <w:rtl w:val="0"/>
          <w:b/>
          <w:bCs/>
        </w:rPr>
        <w:t xml:space="preserve">Functions:</w:t>
      </w:r>
      <w:r>
        <w:rPr>
          <w:rFonts w:ascii="Georgia" w:hAnsi="Georgia" w:cs="Georgia" w:eastAsia="Georgia"/>
          <w:sz w:val="22"/>
          <w:szCs w:val="22"/>
          <w:rtl w:val="0"/>
        </w:rPr>
        <w:t xml:space="preserve"> EC = uncertainty about a claim’s truth. P = interpersonal softening/deference. DO = framing/reader guidance (pure framing logged only, not retained).</w:t>
      </w:r>
    </w:p>
    <w:p w:rsidR="00000000" w:rsidDel="00000000" w:rsidP="00000000" w:rsidRDefault="00000000" w:rsidRPr="00000000" w14:paraId="000001AD">
      <w:pPr>
        <w:spacing w:before="0" w:after="0" w:line="264" w:lineRule="auto"/>
        <w:jc w:val="left"/>
        <w:rPr/>
      </w:pPr>
      <w:r>
        <w:rPr>
          <w:rFonts w:ascii="Georgia" w:hAnsi="Georgia" w:cs="Georgia" w:eastAsia="Georgia"/>
          <w:sz w:val="22"/>
          <w:szCs w:val="22"/>
          <w:rtl w:val="0"/>
          <w:b/>
          <w:bCs/>
        </w:rPr>
        <w:t xml:space="preserve">Core rules:</w:t>
      </w:r>
      <w:r>
        <w:rPr>
          <w:rFonts w:ascii="Georgia" w:hAnsi="Georgia" w:cs="Georgia" w:eastAsia="Georgia"/>
          <w:sz w:val="22"/>
          <w:szCs w:val="22"/>
          <w:rtl w:val="0"/>
        </w:rPr>
        <w:t xml:space="preserve"> suggest/indicate finding→hedge, recommendation→FP-Rec; can/may possibility→hedge, capability→FP-Cap; generally/typically claim-limit→hedge, procedural→FP-Proc; appear/seem result-uncertainty→hedge, location→FP-Gen.</w:t>
      </w:r>
    </w:p>
    <w:p>
      <w:pPr>
        <w:spacing w:after="0" w:before="0" w:line="264" w:lineRule="auto"/>
      </w:pPr>
      <w:r>
        <w:rPr>
          <w:rFonts w:ascii="Georgia" w:hAnsi="Georgia" w:cs="Georgia" w:eastAsia="Georgia"/>
          <w:sz w:val="22"/>
          <w:szCs w:val="22"/>
          <w:b/>
          <w:bCs/>
        </w:rPr>
        <w:t xml:space="preserve">Steps 1–3:</w:t>
      </w:r>
      <w:r>
        <w:rPr>
          <w:rFonts w:ascii="Georgia" w:hAnsi="Georgia" w:cs="Georgia" w:eastAsia="Georgia"/>
          <w:sz w:val="22"/>
          <w:szCs w:val="22"/>
        </w:rPr>
        <w:t xml:space="preserve"> Step 1 wide-net candidates. Step 2 retain claim mitigation only (pure framing → DO log; FP = capability/recommendation/procedure/topic-naming). Step 3 label EC/P/DO. Working Test = EC only.</w:t>
      </w:r>
    </w:p>
    <w:p w:rsidR="00000000" w:rsidDel="00000000" w:rsidP="00000000" w:rsidRDefault="00000000" w:rsidRPr="00000000" w14:paraId="00000233">
      <w:pPr>
        <w:spacing w:before="60" w:after="0" w:line="288" w:lineRule="auto"/>
        <w:jc w:val="left"/>
        <w:rPr/>
      </w:pPr>
      <w:r>
        <w:rPr>
          <w:rFonts w:ascii="Georgia" w:hAnsi="Georgia" w:cs="Georgia" w:eastAsia="Georgia"/>
          <w:i w:val="0"/>
          <w:iCs w:val="0"/>
          <w:sz w:val="24"/>
          <w:szCs w:val="24"/>
          <w:rtl w:val="0"/>
          <w:b/>
          <w:bCs/>
        </w:rPr>
        <w:t>QUICK-REFERENCE LEGEND</w:t>
      </w:r>
      <w:r>
        <w:rPr>
          <w:rtl w:val="0"/>
          <w:sz w:val="24"/>
          <w:szCs w:val="24"/>
        </w:rPr>
      </w:r>
    </w:p>
    <w:p w:rsidR="00000000" w:rsidDel="00000000" w:rsidP="00000000" w:rsidRDefault="00000000" w:rsidRPr="00000000" w14:paraId="00000234">
      <w:pPr>
        <w:spacing w:before="0" w:after="0" w:line="288" w:lineRule="auto"/>
        <w:ind w:firstLine="720"/>
        <w:jc w:val="both"/>
        <w:rPr/>
      </w:pPr>
      <w:r>
        <w:rPr>
          <w:rFonts w:ascii="Georgia" w:hAnsi="Georgia" w:cs="Georgia" w:eastAsia="Georgia"/>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DO</w:t>
            </w:r>
            <w:r>
              <w:rPr>
                <w:rFonts w:ascii="Georgia" w:cs="Georgia" w:eastAsia="Georgia" w:hAnsi="Georgia"/>
                <w:i w:val="0"/>
                <w:iCs w:val="0"/>
                <w:color w:val="000000"/>
                <w:sz w:val="18"/>
                <w:szCs w:val="18"/>
                <w:rtl w:val="0"/>
              </w:rPr>
              <w:t xml:space="preserve">  Discourse Organization</w:t>
            </w:r>
            <w:r>
              <w:rPr>
                <w:rtl w:val="0"/>
                <w:sz w:val="18"/>
                <w:szCs w:val="18"/>
                <w:rFonts w:ascii="Georgia" w:hAnsi="Georgia"/>
              </w:rPr>
            </w:r>
          </w:p>
        </w:tc>
      </w:tr>
      <w:tr>
        <w:trPr>
          <w:cantSplit/>
        </w:trPr>
        <w:tc>
          <w:tcPr/>
          <w:p w:rsidR="00000000" w:rsidDel="00000000" w:rsidP="00000000" w:rsidRDefault="00000000" w:rsidRPr="00000000" w14:paraId="0000023E">
            <w:pPr>
              <w:spacing w:before="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rtl w:val="0"/>
              </w:rPr>
              <w:t xml:space="preserve">      </w:t>
            </w:r>
            <w:r>
              <w:rPr>
                <w:rFonts w:ascii="Georgia" w:cs="Georgia" w:eastAsia="Georgia" w:hAnsi="Georgia"/>
                <w:i w:val="0"/>
                <w:iCs w:val="0"/>
                <w:color w:val="000000"/>
                <w:sz w:val="18"/>
                <w:szCs w:val="18"/>
                <w:rtl w:val="0"/>
                <w:b/>
                <w:bCs/>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i w:val="0"/>
                <w:iCs w:val="0"/>
                <w:color w:val="000000"/>
                <w:sz w:val="18"/>
                <w:szCs w:val="18"/>
                <w:rtl w:val="0"/>
                <w:b/>
                <w:bCs/>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40" w:after="0" w:line="288" w:lineRule="auto"/>
        <w:jc w:val="left"/>
        <w:rPr/>
      </w:pPr>
      <w:r>
        <w:rPr>
          <w:rFonts w:ascii="Georgia" w:hAnsi="Georgia" w:cs="Georgia" w:eastAsia="Georgia"/>
          <w:i w:val="0"/>
          <w:iCs w:val="0"/>
          <w:sz w:val="24"/>
          <w:szCs w:val="24"/>
          <w:rtl w:val="0"/>
          <w:b/>
          <w:bCs/>
        </w:rPr>
        <w:t>COMBINED EXAMPLE</w:t>
      </w:r>
      <w:r>
        <w:rPr>
          <w:rtl w:val="0"/>
          <w:sz w:val="24"/>
          <w:szCs w:val="24"/>
        </w:rPr>
      </w:r>
    </w:p>
    <w:p>
      <w:pPr>
        <w:spacing w:before="0" w:after="6" w:line="276" w:lineRule="auto"/>
      </w:pPr>
      <w:r>
        <w:rPr>
          <w:rFonts w:ascii="Georgia" w:hAnsi="Georgia"/>
          <w:sz w:val="20"/>
          <w:szCs w:val="20"/>
        </w:rPr>
        <w:t xml:space="preserve">“The results </w:t>
      </w:r>
      <w:r>
        <w:rPr>
          <w:rFonts w:ascii="Georgia" w:hAnsi="Georgia"/>
          <w:sz w:val="20"/>
          <w:szCs w:val="20"/>
          <w:highlight w:val="red"/>
          <w:color w:val="ffffff"/>
        </w:rPr>
        <w:t xml:space="preserve">suggested</w:t>
      </w:r>
      <w:r>
        <w:rPr>
          <w:rFonts w:ascii="Georgia" w:hAnsi="Georgia"/>
          <w:sz w:val="20"/>
          <w:szCs w:val="20"/>
          <w:color w:val="ed7d31"/>
        </w:rPr>
        <w:t xml:space="preserve"> (EC)</w:t>
      </w:r>
      <w:r>
        <w:rPr>
          <w:rFonts w:ascii="Georgia" w:hAnsi="Georgia"/>
          <w:sz w:val="20"/>
          <w:szCs w:val="20"/>
        </w:rPr>
        <w:t xml:space="preserve"> that extracts are </w:t>
      </w:r>
      <w:r>
        <w:rPr>
          <w:rFonts w:ascii="Georgia" w:hAnsi="Georgia"/>
          <w:sz w:val="20"/>
          <w:szCs w:val="20"/>
          <w:highlight w:val="red"/>
          <w:color w:val="ffffff"/>
        </w:rPr>
        <w:t xml:space="preserve">potential</w:t>
      </w:r>
      <w:r>
        <w:rPr>
          <w:rFonts w:ascii="Georgia" w:hAnsi="Georgia"/>
          <w:sz w:val="20"/>
          <w:szCs w:val="20"/>
          <w:color w:val="ed7d31"/>
        </w:rPr>
        <w:t xml:space="preserve"> (EC)</w:t>
      </w:r>
      <w:r>
        <w:rPr>
          <w:rFonts w:ascii="Georgia" w:hAnsi="Georgia"/>
          <w:sz w:val="20"/>
          <w:szCs w:val="20"/>
        </w:rPr>
        <w:t xml:space="preserve"> alternative stains. PCR </w:t>
      </w:r>
      <w:r>
        <w:rPr>
          <w:rFonts w:ascii="Georgia" w:hAnsi="Georgia"/>
          <w:sz w:val="20"/>
          <w:szCs w:val="20"/>
          <w:strike/>
        </w:rPr>
        <w:t xml:space="preserve">can</w:t>
      </w:r>
      <w:r>
        <w:rPr>
          <w:rFonts w:ascii="Georgia" w:hAnsi="Georgia"/>
          <w:sz w:val="20"/>
          <w:szCs w:val="20"/>
          <w:color w:val="808080"/>
        </w:rPr>
        <w:t xml:space="preserve"> (FP-Cap)</w:t>
      </w:r>
      <w:r>
        <w:rPr>
          <w:rFonts w:ascii="Georgia" w:hAnsi="Georgia"/>
          <w:sz w:val="20"/>
          <w:szCs w:val="20"/>
        </w:rPr>
        <w:t xml:space="preserve"> also detect low concentrations.”</w:t>
      </w:r>
    </w:p>
    <w:p>
      <w:pPr>
        <w:spacing w:before="0" w:after="6" w:line="276" w:lineRule="auto"/>
      </w:pPr>
      <w:r>
        <w:rPr>
          <w:rFonts w:ascii="Georgia" w:hAnsi="Georgia"/>
          <w:sz w:val="20"/>
          <w:szCs w:val="20"/>
          <w:color w:val="404040"/>
        </w:rPr>
        <w:t xml:space="preserve">Type highlight = grammatical type. Orange text = function (EC). Strike + grey code = false positive. Here both suggested and potential are retained Lexical EC; can is FP-Cap (capability).</w:t>
      </w:r>
    </w:p>
    <w:p w:rsidR="00000000" w:rsidDel="00000000" w:rsidP="00000000" w:rsidRDefault="00000000" w:rsidRPr="00000000" w14:paraId="00000245">
      <w:pPr>
        <w:spacing w:before="0" w:after="0" w:line="288" w:lineRule="auto"/>
        <w:ind w:firstLine="720"/>
        <w:jc w:val="both"/>
        <w:rPr/>
      </w:pPr>
      <w:r>
        <w:rPr>
          <w:rFonts w:ascii="Georgia" w:hAnsi="Georgia" w:cs="Georgia" w:eastAsia="Georgia"/>
          <w:i w:val="1"/>
          <w:iCs w:val="1"/>
          <w:color w:val="404040"/>
          <w:sz w:val="22"/>
          <w:rtl w:val="0"/>
          <w:szCs w:val="22"/>
        </w:rPr>
        <w:t>• Full rules in Full Codebook (from next page).</w:t>
      </w:r>
      <w:r>
        <w:rPr>
          <w:rFonts w:ascii="Georgia" w:cs="Georgia" w:eastAsia="Georgia" w:hAnsi="Georgia"/>
          <w:i w:val="1"/>
          <w:iCs w:val="1"/>
          <w:color w:val="404040"/>
          <w:sz w:val="22"/>
          <w:szCs w:val="22"/>
          <w:rtl w:val="0"/>
        </w:rPr>
      </w:r>
      <w:r>
        <w:rPr>
          <w:rtl w:val="0"/>
          <w:sz w:val="22"/>
          <w:szCs w:val="22"/>
        </w:rPr>
      </w:r>
    </w:p>
    <w:p w:rsidR="00000000" w:rsidDel="00000000" w:rsidP="00000000" w:rsidRDefault="00000000" w:rsidRPr="00000000" w14:paraId="000001B4">
      <w:pPr>
        <w:spacing w:before="40" w:after="14" w:line="360" w:lineRule="auto"/>
        <w:jc w:val="left"/>
        <w:rPr/>
      </w:pPr>
      <w:r>
        <w:rPr>
          <w:sz w:val="22"/>
          <w:szCs w:val="22"/>
        </w:rPr>
        <w:br w:type="page"/>
      </w:r>
      <w:r>
        <w:rPr>
          <w:rFonts w:ascii="Georgia" w:hAnsi="Georgia" w:cs="Georgia" w:eastAsia="Georgia"/>
          <w:b/>
          <w:bCs w:val="1"/>
          <w:sz w:val="22"/>
          <w:szCs w:val="22"/>
          <w:rtl w:val="0"/>
        </w:rPr>
        <w:t>FULL CODEBOOK</w:t>
      </w:r>
      <w:r>
        <w:rPr>
          <w:rtl w:val="0"/>
          <w:sz w:val="22"/>
          <w:szCs w:val="22"/>
        </w:rPr>
      </w:r>
    </w:p>
    <w:p w:rsidR="00000000" w:rsidDel="00000000" w:rsidP="00000000" w:rsidRDefault="00000000" w:rsidRPr="00000000" w14:paraId="000001B5">
      <w:pPr>
        <w:spacing w:before="40" w:after="14" w:line="360" w:lineRule="auto"/>
        <w:jc w:val="left"/>
        <w:rPr/>
      </w:pPr>
      <w:r>
        <w:rPr>
          <w:rFonts w:ascii="Georgia" w:hAnsi="Georgia" w:cs="Georgia" w:eastAsia="Georgia"/>
          <w:b/>
          <w:bCs w:val="1"/>
          <w:i w:val="0"/>
          <w:iCs w:val="0"/>
          <w:sz w:val="22"/>
          <w:szCs w:val="22"/>
          <w:rtl w:val="0"/>
        </w:rPr>
        <w:t>PURPOSE</w:t>
      </w:r>
      <w:r>
        <w:rPr>
          <w:rtl w:val="0"/>
          <w:sz w:val="22"/>
          <w:szCs w:val="22"/>
        </w:rPr>
      </w:r>
    </w:p>
    <w:p w:rsidR="00000000" w:rsidDel="00000000" w:rsidP="00000000" w:rsidRDefault="00000000" w:rsidRPr="00000000" w14:paraId="000001B6">
      <w:pPr>
        <w:spacing w:before="0" w:after="8" w:line="360"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tl w:val="0"/>
          <w:sz w:val="20"/>
          <w:szCs w:val="20"/>
        </w:rPr>
      </w:r>
    </w:p>
    <w:p w:rsidR="00000000" w:rsidDel="00000000" w:rsidP="00000000" w:rsidRDefault="00000000" w:rsidRPr="00000000" w14:paraId="000001B8">
      <w:pPr>
        <w:spacing w:before="40" w:after="14" w:line="360" w:lineRule="auto"/>
        <w:jc w:val="left"/>
        <w:rPr/>
      </w:pPr>
      <w:r>
        <w:rPr>
          <w:rFonts w:ascii="Georgia" w:hAnsi="Georgia" w:cs="Georgia" w:eastAsia="Georgia"/>
          <w:i w:val="0"/>
          <w:iCs w:val="0"/>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1 (candidate tagging, wide net). After the holistic read, mark hedge-like forms, findings framing or sequencing, and forms that may later be false positives. This step does not count retained hedges.</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Step 2 (retained hedge). Keep as a retained hedge only if removing the expression makes a knowledge claim more categorical or more direct, or softens how that claim is put forward.</w:t>
      </w:r>
      <w:r>
        <w:rPr>
          <w:rtl w:val="0"/>
          <w:sz w:val="20"/>
          <w:szCs w:val="20"/>
        </w:rPr>
      </w:r>
    </w:p>
    <w:p w:rsidR="00000000" w:rsidDel="00000000" w:rsidP="00000000" w:rsidRDefault="00000000" w:rsidRPr="00000000" w14:paraId="000001BA">
      <w:pPr>
        <w:spacing w:before="0" w:after="8" w:line="360" w:lineRule="auto"/>
        <w:ind w:left="360" w:hanging="360"/>
        <w:jc w:val="both"/>
        <w:rPr/>
      </w:pPr>
      <w:r>
        <w:rPr>
          <w:rFonts w:ascii="Georgia" w:hAnsi="Georgia" w:cs="Georgia" w:eastAsia="Georgia"/>
          <w:i w:val="0"/>
          <w:iCs w:val="0"/>
          <w:sz w:val="20"/>
          <w:szCs w:val="20"/>
          <w:rtl w:val="0"/>
          <w:b w:val="0"/>
          <w:bCs w:val="0"/>
        </w:rPr>
        <w:t>• Step 2 (pure DO log / FP). Pure findings framing or sequencing with no commitment change and no interpersonal softening is logged as discourse organization only (not a retained hedge). Capability, recommendation, pure procedure, topic-naming, and non-claim sequencing are false positives.</w:t>
      </w:r>
      <w:r>
        <w:rPr>
          <w:rtl w:val="0"/>
          <w:sz w:val="20"/>
          <w:szCs w:val="20"/>
        </w:rPr>
      </w:r>
    </w:p>
    <w:p w:rsidR="00000000" w:rsidDel="00000000" w:rsidP="00000000" w:rsidRDefault="00000000" w:rsidRPr="00000000" w14:paraId="000001BB">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3 (function). Label retained hedges only: EC, P, and/or DO. Co-occurrence allowed. Pure DO does not reach Step 3 as a retained hedge.</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1BC">
      <w:pPr>
        <w:spacing w:before="0" w:after="8" w:line="360" w:lineRule="auto"/>
        <w:ind w:left="360" w:hanging="360"/>
        <w:jc w:val="both"/>
        <w:rPr/>
      </w:pPr>
      <w:r>
        <w:rPr>
          <w:rFonts w:ascii="Georgia" w:hAnsi="Georgia" w:cs="Georgia" w:eastAsia="Georgia"/>
          <w:i w:val="0"/>
          <w:iCs w:val="0"/>
          <w:sz w:val="20"/>
          <w:szCs w:val="20"/>
          <w:rtl w:val="0"/>
          <w:b w:val="0"/>
          <w:bCs w:val="0"/>
        </w:rPr>
        <w:t>• Working Test and order. Working Test supports EC only (commitment change). Deontic advice is never retained (FP-Rec). Coding order: full abstract → Step 1 → Step 2 → Decision Rules → Step 3 on retained hedges → Working Test for EC → Coder Notes.</w:t>
      </w:r>
      <w:r>
        <w:rPr>
          <w:rtl w:val="0"/>
          <w:sz w:val="20"/>
          <w:szCs w:val="20"/>
        </w:rPr>
      </w:r>
    </w:p>
    <w:p w:rsidR="00000000" w:rsidDel="00000000" w:rsidP="00000000" w:rsidRDefault="00000000" w:rsidRPr="00000000" w14:paraId="00000083">
      <w:pPr>
        <w:spacing w:before="40" w:after="14" w:line="360" w:lineRule="auto"/>
        <w:jc w:val="left"/>
        <w:rPr/>
      </w:pPr>
      <w:r>
        <w:rPr>
          <w:rFonts w:ascii="Georgia" w:hAnsi="Georgia" w:cs="Georgia" w:eastAsia="Georgia"/>
          <w:i w:val="0"/>
          <w:iCs w:val="0"/>
          <w:sz w:val="22"/>
          <w:szCs w:val="22"/>
          <w:rtl w:val="0"/>
          <w:b/>
          <w:bCs w:val="0"/>
        </w:rPr>
        <w:t>WORKING EXAMPLES: STEP 2 SORT AND STEP 3 FUNCTION (EC, P, DO)</w:t>
      </w:r>
      <w:r>
        <w:rPr>
          <w:rtl w:val="0"/>
          <w:b w:val="1"/>
          <w:sz w:val="22"/>
          <w:szCs w:val="22"/>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Function labels apply to retained hedges after Step 2. Step 2 = claim mitigation for findings, not advice. Working Test supports EC when certainty changes.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EC: “The treatment may reduce infection rates.” Removing may raises certainty → hedge, EC.</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FP-Cap: “PCR can detect low concentrations.” can = capability, not uncertainty about a finding.</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“As suggested by previous researchers, the treatment is effective.” Step 2 may retain if interpersonal softening of a claim is present. EC Working Test fails if certainty is unchanged → function P.</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 EC: Step 2 retains as a hedge and Working Test also passes → dominant function from context (or dual note in Coder Notes).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Pure DO: “In conclusion, T3 produced the highest yield.” Candidate may be tagged. Step 2 = pure DO log (findings framing only). Not a retained hedge. Appendix C may still show (DO) for visibility.</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DO frame + separate hedge: “It should be noted that the results may indicate growth.” Code may as retained hedge (EC). The frame alone is not a second hedge count.</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Summary: Step 1 is wide. Only claim mitigation enters the retained hedge set. Pure findings framing is logged as DO and fails as a hedge. Step 3 labels retained hedges EC / P / DO. Working Test supports EC only. In this corpus all 65 retained tokens were EC. No P forms appeared in the retained set. Pure DO was logged outside that set.</w:t>
      </w:r>
      <w:r>
        <w:rPr>
          <w:rtl w:val="0"/>
          <w:sz w:val="20"/>
          <w:szCs w:val="20"/>
        </w:rPr>
      </w:r>
    </w:p>
    <w:p w:rsidR="00000000" w:rsidDel="00000000" w:rsidP="00000000" w:rsidRDefault="00000000" w:rsidRPr="00000000" w14:paraId="000001BE">
      <w:pPr>
        <w:spacing w:before="40" w:after="14" w:line="360" w:lineRule="auto"/>
        <w:jc w:val="left"/>
        <w:rPr/>
      </w:pPr>
      <w:r>
        <w:rPr>
          <w:rFonts w:ascii="Georgia" w:hAnsi="Georgia" w:cs="Georgia" w:eastAsia="Georgia"/>
          <w:b/>
          <w:bCs w:val="1"/>
          <w:i w:val="0"/>
          <w:iCs w:val="0"/>
          <w:sz w:val="22"/>
          <w:szCs w:val="22"/>
          <w:rtl w:val="0"/>
        </w:rPr>
        <w:t>HEDGE TYPE (PRIMARY COLORS)</w:t>
      </w:r>
      <w:r>
        <w:rPr>
          <w:rtl w:val="0"/>
          <w:sz w:val="22"/>
          <w:szCs w:val="22"/>
        </w:rPr>
      </w:r>
    </w:p>
    <w:p w:rsidR="00000000" w:rsidDel="00000000" w:rsidP="00000000" w:rsidRDefault="00000000" w:rsidRPr="00000000" w14:paraId="000001BF">
      <w:pPr>
        <w:spacing w:before="0" w:after="8" w:line="360" w:lineRule="auto"/>
        <w:ind w:firstLine="72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8" w:line="360" w:lineRule="auto"/>
        <w:ind/>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tl w:val="0"/>
          <w:sz w:val="20"/>
          <w:szCs w:val="20"/>
        </w:rPr>
      </w:r>
    </w:p>
    <w:p w:rsidR="00000000" w:rsidDel="00000000" w:rsidP="00000000" w:rsidRDefault="00000000" w:rsidRPr="00000000" w14:paraId="000001D6">
      <w:pPr>
        <w:spacing w:before="0" w:after="8" w:line="360"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tl w:val="0"/>
          <w:sz w:val="20"/>
          <w:szCs w:val="20"/>
        </w:rPr>
      </w:r>
    </w:p>
    <w:p w:rsidR="00000000" w:rsidDel="00000000" w:rsidP="00000000" w:rsidRDefault="00000000" w:rsidRPr="00000000" w14:paraId="000001D8">
      <w:pPr>
        <w:spacing w:before="40" w:after="14" w:line="360" w:lineRule="auto"/>
        <w:jc w:val="left"/>
        <w:rPr/>
      </w:pPr>
      <w:r>
        <w:rPr>
          <w:rFonts w:ascii="Georgia" w:hAnsi="Georgia" w:cs="Georgia" w:eastAsia="Georgia"/>
          <w:b/>
          <w:bCs w:val="1"/>
          <w:i w:val="0"/>
          <w:iCs w:val="0"/>
          <w:sz w:val="22"/>
          <w:szCs w:val="22"/>
          <w:rtl w:val="0"/>
        </w:rPr>
        <w:t>HEDGE FUNCTION (COLORED TEXT LABELS)</w:t>
      </w:r>
      <w:r>
        <w:rPr>
          <w:rtl w:val="0"/>
          <w:sz w:val="22"/>
          <w:szCs w:val="22"/>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sz w:val="18"/>
                <w:szCs w:val="18"/>
                <w:rtl w:val="0"/>
                <w:color w:val="8B4513"/>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spacing w:before="40" w:after="14" w:line="360" w:lineRule="auto"/>
        <w:jc w:val="left"/>
        <w:rPr/>
      </w:pPr>
      <w:r>
        <w:rPr>
          <w:rFonts w:ascii="Georgia" w:cs="Georgia" w:eastAsia="Georgia" w:hAnsi="Georgia"/>
          <w:b w:val="1"/>
          <w:bCs w:val="1"/>
          <w:i w:val="0"/>
          <w:iCs w:val="0"/>
          <w:sz w:val="22"/>
          <w:szCs w:val="22"/>
          <w:rtl w:val="0"/>
        </w:rPr>
        <w:t xml:space="preserve">DECISION RULES FOR AMBIGUOUS CASES</w:t>
      </w:r>
      <w:r>
        <w:rPr>
          <w:rtl w:val="0"/>
          <w:sz w:val="22"/>
          <w:szCs w:val="22"/>
        </w:rPr>
      </w:r>
    </w:p>
    <w:p w:rsidR="00000000" w:rsidDel="00000000" w:rsidP="00000000" w:rsidRDefault="00000000" w:rsidRPr="00000000" w14:paraId="000001EB">
      <w:pPr>
        <w:spacing w:before="0" w:after="8" w:line="360" w:lineRule="auto"/>
        <w:ind w:firstLine="720"/>
        <w:jc w:val="both"/>
        <w:rPr/>
      </w:pPr>
      <w:r>
        <w:rPr>
          <w:rFonts w:ascii="Georgia" w:cs="Georgia" w:eastAsia="Georgia" w:hAnsi="Georgia"/>
          <w:b w:val="0"/>
          <w:bCs w:val="0"/>
          <w:i w:val="0"/>
          <w:iCs w:val="0"/>
          <w:sz w:val="20"/>
          <w:szCs w:val="20"/>
          <w:rtl w:val="0"/>
        </w:rPr>
        <w:t xml:space="preserve">Apply before defaulting to the Working Test.</w:t>
      </w:r>
      <w:r>
        <w:rPr>
          <w:rtl w:val="0"/>
          <w:sz w:val="20"/>
          <w:szCs w:val="20"/>
        </w:rPr>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8" w:line="360" w:lineRule="auto"/>
        <w:ind w:firstLine="72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tl w:val="0"/>
          <w:sz w:val="20"/>
          <w:szCs w:val="20"/>
        </w:rPr>
      </w:r>
    </w:p>
    <w:p w:rsidR="00000000" w:rsidDel="00000000" w:rsidP="00000000" w:rsidRDefault="00000000" w:rsidRPr="00000000" w14:paraId="00000209">
      <w:pPr>
        <w:spacing w:before="0" w:after="8" w:line="360" w:lineRule="auto"/>
        <w:ind w:firstLine="72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tl w:val="0"/>
          <w:sz w:val="20"/>
          <w:szCs w:val="20"/>
        </w:rPr>
      </w:r>
    </w:p>
    <w:p w:rsidR="00000000" w:rsidDel="00000000" w:rsidP="00000000" w:rsidRDefault="00000000" w:rsidRPr="00000000" w14:paraId="0000020B">
      <w:pPr>
        <w:spacing w:before="40" w:after="14" w:line="360" w:lineRule="auto"/>
        <w:jc w:val="left"/>
        <w:rPr/>
      </w:pPr>
      <w:r>
        <w:rPr>
          <w:rFonts w:ascii="Georgia" w:cs="Georgia" w:eastAsia="Georgia" w:hAnsi="Georgia"/>
          <w:b w:val="1"/>
          <w:bCs w:val="1"/>
          <w:i w:val="0"/>
          <w:iCs w:val="0"/>
          <w:sz w:val="22"/>
          <w:szCs w:val="22"/>
          <w:rtl w:val="0"/>
        </w:rPr>
        <w:t xml:space="preserve">MARKING FALSE POSITIVES</w:t>
      </w:r>
      <w:r>
        <w:rPr>
          <w:rtl w:val="0"/>
          <w:sz w:val="22"/>
          <w:szCs w:val="22"/>
        </w:rPr>
      </w:r>
    </w:p>
    <w:p w:rsidR="00000000" w:rsidDel="00000000" w:rsidP="00000000" w:rsidRDefault="00000000" w:rsidRPr="00000000" w14:paraId="0000020C">
      <w:pPr>
        <w:spacing w:before="0" w:after="8" w:line="360" w:lineRule="auto"/>
        <w:ind w:firstLine="72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40" w:after="14" w:line="360" w:lineRule="auto"/>
        <w:jc w:val="left"/>
        <w:rPr/>
      </w:pPr>
      <w:r>
        <w:rPr>
          <w:rFonts w:ascii="Georgia" w:hAnsi="Georgia" w:cs="Georgia" w:eastAsia="Georgia"/>
          <w:b/>
          <w:bCs w:val="1"/>
          <w:i w:val="0"/>
          <w:iCs w:val="0"/>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40" w:after="14" w:line="360" w:lineRule="auto"/>
        <w:jc w:val="left"/>
        <w:rPr/>
      </w:pPr>
      <w:r>
        <w:rPr>
          <w:rFonts w:ascii="Georgia" w:hAnsi="Georgia" w:cs="Georgia" w:eastAsia="Georgia"/>
          <w:b/>
          <w:bCs w:val="1"/>
          <w:i w:val="0"/>
          <w:iCs w:val="0"/>
          <w:sz w:val="22"/>
          <w:szCs w:val="22"/>
          <w:rtl w:val="0"/>
        </w:rPr>
        <w:t>CODING SHEET COLUMNS</w:t>
      </w:r>
      <w:r>
        <w:rPr>
          <w:rtl w:val="0"/>
          <w:sz w:val="22"/>
          <w:szCs w:val="22"/>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8" w:line="360" w:lineRule="auto"/>
        <w:ind w:firstLine="720"/>
        <w:jc w:val="both"/>
        <w:rPr/>
      </w:pPr>
      <w:r>
        <w:rPr>
          <w:rFonts w:ascii="Georgia" w:hAnsi="Georgia" w:cs="Georgia" w:eastAsia="Georgia"/>
          <w:b w:val="0"/>
          <w:bCs w:val="0"/>
          <w:i w:val="0"/>
          <w:iCs w:val="0"/>
          <w:sz w:val="20"/>
          <w:szCs w:val="20"/>
          <w:rtl w:val="0"/>
        </w:rPr>
        <w:t>• Highlighted abstract = primary record. Spreadsheet = tallying and analysis only.</w:t>
      </w:r>
      <w:r>
        <w:rPr>
          <w:rtl w:val="0"/>
          <w:sz w:val="20"/>
          <w:szCs w:val="20"/>
        </w:rPr>
      </w:r>
    </w:p>
    <w:p w:rsidR="00000000" w:rsidDel="00000000" w:rsidP="00000000" w:rsidRDefault="00000000" w:rsidRPr="00000000" w14:paraId="0000025A">
      <w:pPr>
        <w:spacing w:before="0" w:after="8" w:line="360" w:lineRule="auto"/>
        <w:ind w:firstLine="720"/>
        <w:jc w:val="both"/>
        <w:rPr/>
      </w:pPr>
      <w:r>
        <w:rPr>
          <w:rFonts w:ascii="Georgia" w:hAnsi="Georgia" w:cs="Georgia" w:eastAsia="Georgia"/>
          <w:b w:val="0"/>
          <w:bCs w:val="0"/>
          <w:i w:val="1"/>
          <w:iCs w:val="1"/>
          <w:color w:val="000000"/>
          <w:sz w:val="20"/>
          <w:szCs w:val="20"/>
          <w:rtl w:val="0"/>
        </w:rPr>
        <w:t>• Codes: Acs1–Acs10, Aas1–Aas10 (Agriculture). VM1–VM20. B1–B20 (Biology).</w:t>
      </w:r>
      <w:r>
        <w:rPr>
          <w:rtl w:val="0"/>
          <w:sz w:val="20"/>
          <w:szCs w:val="20"/>
        </w:rPr>
      </w:r>
    </w:p>
    <w:p w:rsidR="00000000" w:rsidDel="00000000" w:rsidP="00000000" w:rsidRDefault="00000000" w:rsidRPr="00000000" w14:paraId="0000025D">
      <w:pPr>
        <w:spacing w:before="0" w:after="8" w:line="360" w:lineRule="auto"/>
        <w:ind w:firstLine="72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tl w:val="0"/>
          <w:sz w:val="20"/>
          <w:szCs w:val="20"/>
        </w:rPr>
      </w:r>
    </w:p>
    <w:p w:rsidR="00000000" w:rsidDel="00000000" w:rsidP="00000000" w:rsidRDefault="00000000" w:rsidRPr="00000000" w14:paraId="0000026C">
      <w:pPr>
        <w:spacing w:before="0" w:after="8" w:line="360" w:lineRule="auto"/>
        <w:jc w:val="left"/>
        <w:rPr/>
      </w:pPr>
      <w:r>
        <w:rPr>
          <w:rFonts w:ascii="Georgia" w:hAnsi="Georgia" w:cs="Georgia" w:eastAsia="Georgia"/>
          <w:b w:val="0"/>
          <w:bCs w:val="0"/>
          <w:i w:val="1"/>
          <w:iCs w:val="1"/>
          <w:sz w:val="20"/>
          <w:szCs w:val="20"/>
          <w:rtl w:val="0"/>
        </w:rPr>
        <w:t>• Optional Rejected Candidates tab for FP traceability.</w:t>
      </w:r>
      <w:r>
        <w:rPr>
          <w:rtl w:val="0"/>
          <w:sz w:val="20"/>
          <w:szCs w:val="20"/>
        </w:rPr>
      </w:r>
    </w:p>
    <w:p w:rsidR="00000000" w:rsidDel="00000000" w:rsidP="00000000" w:rsidRDefault="00000000" w:rsidRPr="00000000" w14:paraId="0000027B">
      <w:pPr>
        <w:spacing w:before="120" w:after="0" w:line="456" w:lineRule="auto"/>
        <w:jc w:val="center"/>
        <w:rPr/>
      </w:pPr>
      <w:r>
        <w:rPr>
          <w:rFonts w:ascii="Georgia" w:cs="Georgia" w:eastAsia="Georgia" w:hAnsi="Georgia"/>
          <w:b w:val="1"/>
          <w:bCs w:val="1"/>
          <w:i w:val="0"/>
          <w:iCs w:val="0"/>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2"/>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2"/>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center"/>
        <w:rPr/>
        <w:pageBreakBefore/>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P, and DO. False positives = strikethrough + reason code in grey (e.g. FP-Rec = recommendation, not a function). Unhedged assertions = grey highlight + [G]/[C] bracket (warranted-but-absent caution only).</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