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English L1 writers and Iranian L2 writers, and coded hedges according to Crompton’s (1997) taxonomy. English L1 writers used more hedging devices overall. L2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Hedging rises where writers move from measurement to interpretation, generalization, or clinical implication. The same medical discourse can therefore look firm in the results strip and still manage claim responsibility in the interpretive strip.</w:t>
      </w:r>
    </w:p>
    <w:p>
      <w:pPr>
        <w:jc w:val="both"/>
      </w:pPr>
      <w:r>
        <w:t>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p>
    <w:p>
      <w:pPr>
        <w:jc w:val="both"/>
      </w:pPr>
      <w:r>
        <w:t>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p>
    <w:p>
      <w:pPr>
        <w:jc w:val="both"/>
      </w:pPr>
      <w:r>
        <w:t>Cross-field comparisons complicate any simple medical-versus-other ranking.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eastAsia="Georgia"/>
          <w:sz w:val="22"/>
        </w:rPr>
        <w:t>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p>
    <w:p>
      <w:pPr>
        <w:spacing w:line="480" w:lineRule="auto" w:before="0" w:after="0"/>
        <w:ind w:firstLine="720"/>
        <w:jc w:val="both"/>
      </w:pPr>
      <w:r>
        <w:rPr>
          <w:rFonts w:ascii="Georgia" w:hAnsi="Georgia" w:cs="Georgia"/>
        </w:rPr>
        <w:t>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pPr>
        <w:jc w:val="both"/>
      </w:pPr>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pPr>
        <w:jc w:val="both"/>
      </w:pPr>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pPr>
        <w:jc w:val="both"/>
      </w:pPr>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pPr>
        <w:jc w:val="both"/>
      </w:pPr>
      <w:r>
        <w:t>Mazidah et al. (2022), reviewed under undergraduate writing, found a soft-versus-hard contrast in undergraduate thesis abstracts at Qomaruddin University that aligns with the graduate pattern reported by Wahyuningsih and Sofwan (2014). English-education abstracts used more hedges. Mathematics abstracts used more boosters.</w:t>
      </w:r>
    </w:p>
    <w:p>
      <w:pPr>
        <w:jc w:val="both"/>
      </w:pPr>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pPr>
        <w:jc w:val="both"/>
      </w:pPr>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pPr>
        <w:jc w:val="both"/>
      </w:pPr>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pPr>
        <w:jc w:val="both"/>
      </w:pPr>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pPr>
        <w:jc w:val="both"/>
      </w:pPr>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pPr>
        <w:jc w:val="both"/>
      </w:pPr>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Pr>
          <w:rFonts w:ascii="Georgia" w:hAnsi="Georgia" w:eastAsia="Georgia" w:cs="Georgia"/>
          <w:b w:val="0"/>
          <w:sz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pPr>
        <w:jc w:val="both"/>
      </w:pPr>
      <w:r>
        <w:rPr>
          <w:b/>
        </w:rPr>
        <w:t>Token</w:t>
      </w:r>
      <w:r>
        <w:t>,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Pr>
          <w:rFonts w:ascii="Georgia" w:hAnsi="Georgia" w:eastAsia="Georgia"/>
          <w:b w:val="0"/>
          <w:sz w:val="22"/>
        </w:rPr>
        <w:t>Ambiguous forms such as can, potential, indicating, and possibility may function either as epistemic hedges or as non-epistemic lexical items depending on context. Table 1 summarizes how the claim condition and the two removal checks are applied to the main boundary constructions in this corpus.</w:t>
      </w:r>
    </w:p>
    <w:p>
      <w:pPr>
        <w:spacing w:before="120" w:after="0" w:line="480" w:lineRule="auto"/>
        <w:ind w:firstLine="0"/>
        <w:jc w:val="center"/>
      </w:pPr>
      <w:r>
        <w:rPr>
          <w:rFonts w:ascii="Georgia" w:hAnsi="Georgia" w:eastAsia="Georgia"/>
          <w:b/>
          <w:sz w:val="22"/>
        </w:rPr>
        <w:t>Table 1</w:t>
      </w:r>
    </w:p>
    <w:p>
      <w:pPr>
        <w:spacing w:line="480" w:lineRule="auto"/>
        <w:ind w:firstLine="0"/>
        <w:jc w:val="center"/>
      </w:pPr>
      <w:r>
        <w:rPr>
          <w:rFonts w:ascii="Georgia" w:hAnsi="Georgia" w:eastAsia="Georgia"/>
          <w:b w:val="0"/>
          <w:sz w:val="22"/>
        </w:rPr>
        <w:t>Decision rules for ambiguous hedge forms.</w:t>
      </w:r>
    </w:p>
    <w:tbl>
      <w:tblPr>
        <w:tblStyle w:val="Table2"/>
        <w:tblW w:w="8307.0" w:type="dxa"/>
        <w:jc w:val="left"/>
        <w:tblInd w:w="-223.0" w:type="dxa"/>
        <w:tblLayout w:type="fixed"/>
        <w:tblLook w:val="0400"/>
      </w:tblPr>
      <w:tblGrid>
        <w:gridCol w:w="2769"/>
        <w:gridCol w:w="2769"/>
        <w:gridCol w:w="2769"/>
      </w:tblGrid>
      <w:tr>
        <w:tc>
          <w:tcPr>
            <w:tcW w:w="2769" w:type="dxa"/>
            <w:tcBorders>
              <w:top w:color="000000" w:space="0" w:sz="18" w:val="single"/>
              <w:bottom w:color="000000" w:space="0" w:sz="4" w:val="single"/>
            </w:tcBorders>
          </w:tcPr>
          <w:p>
            <w:pPr>
              <w:spacing w:before="0" w:after="0" w:line="240" w:lineRule="auto"/>
              <w:jc w:val="left"/>
            </w:pPr>
            <w:r>
              <w:rPr>
                <w:b/>
                <w:sz w:val="18"/>
              </w:rPr>
              <w:t>Token / construction</w:t>
            </w:r>
          </w:p>
        </w:tc>
        <w:tc>
          <w:tcPr>
            <w:tcW w:w="2769" w:type="dxa"/>
            <w:tcBorders>
              <w:top w:color="000000" w:space="0" w:sz="18" w:val="single"/>
              <w:bottom w:color="000000" w:space="0" w:sz="4" w:val="single"/>
            </w:tcBorders>
          </w:tcPr>
          <w:p>
            <w:pPr>
              <w:spacing w:before="0" w:after="0" w:line="240" w:lineRule="auto"/>
              <w:jc w:val="left"/>
            </w:pPr>
            <w:r>
              <w:rPr>
                <w:b/>
                <w:sz w:val="18"/>
              </w:rPr>
              <w:t>Hedge when</w:t>
            </w:r>
          </w:p>
        </w:tc>
        <w:tc>
          <w:tcPr>
            <w:tcW w:w="2769" w:type="dxa"/>
            <w:tcBorders>
              <w:top w:color="000000" w:space="0" w:sz="18" w:val="single"/>
              <w:bottom w:color="000000" w:space="0" w:sz="4" w:val="single"/>
            </w:tcBorders>
          </w:tcPr>
          <w:p>
            <w:pPr>
              <w:spacing w:before="0" w:after="0" w:line="240" w:lineRule="auto"/>
              <w:jc w:val="left"/>
            </w:pPr>
            <w:r>
              <w:rPr>
                <w:b/>
                <w:sz w:val="18"/>
              </w:rPr>
              <w:t>Not a hedge when</w:t>
            </w:r>
          </w:p>
        </w:tc>
      </w:tr>
      <w:tr>
        <w:tc>
          <w:tcPr>
            <w:tcW w:w="2769" w:type="dxa"/>
          </w:tcPr>
          <w:p>
            <w:pPr>
              <w:spacing w:before="0" w:after="0" w:line="240" w:lineRule="auto"/>
              <w:jc w:val="left"/>
            </w:pPr>
            <w:r>
              <w:rPr>
                <w:b w:val="0"/>
                <w:sz w:val="18"/>
              </w:rPr>
              <w:t>can + active content verb (e.g., enhance, promote, reduce, help)</w:t>
            </w:r>
          </w:p>
        </w:tc>
        <w:tc>
          <w:tcPr>
            <w:tcW w:w="2769" w:type="dxa"/>
          </w:tcPr>
          <w:p>
            <w:pPr>
              <w:spacing w:before="0" w:after="0" w:line="240" w:lineRule="auto"/>
              <w:jc w:val="left"/>
            </w:pPr>
            <w:r>
              <w:rPr>
                <w:b w:val="0"/>
                <w:sz w:val="18"/>
              </w:rPr>
              <w:t>Removing can raises the epistemic weight of a finding-claim (possibility reading).</w:t>
            </w:r>
          </w:p>
        </w:tc>
        <w:tc>
          <w:tcPr>
            <w:tcW w:w="2769" w:type="dxa"/>
          </w:tcPr>
          <w:p>
            <w:pPr>
              <w:spacing w:before="0" w:after="0" w:line="240" w:lineRule="auto"/>
              <w:jc w:val="left"/>
            </w:pPr>
            <w:r>
              <w:rPr>
                <w:b w:val="0"/>
                <w:sz w:val="18"/>
              </w:rPr>
              <w:t>Marks capability or ability only (false positive).</w:t>
            </w:r>
          </w:p>
        </w:tc>
      </w:tr>
      <w:tr>
        <w:tc>
          <w:tcPr>
            <w:tcW w:w="2769" w:type="dxa"/>
          </w:tcPr>
          <w:p>
            <w:pPr>
              <w:spacing w:before="0" w:after="0" w:line="240" w:lineRule="auto"/>
              <w:jc w:val="left"/>
            </w:pPr>
            <w:r>
              <w:rPr>
                <w:b w:val="0"/>
                <w:sz w:val="18"/>
              </w:rPr>
              <w:t>indicating / indicates</w:t>
            </w:r>
          </w:p>
        </w:tc>
        <w:tc>
          <w:tcPr>
            <w:tcW w:w="2769" w:type="dxa"/>
          </w:tcPr>
          <w:p>
            <w:pPr>
              <w:spacing w:before="0" w:after="0" w:line="240" w:lineRule="auto"/>
              <w:jc w:val="left"/>
            </w:pPr>
            <w:r>
              <w:rPr>
                <w:b w:val="0"/>
                <w:sz w:val="18"/>
              </w:rPr>
              <w:t>Introduces an inference beyond the operational definition of the result.</w:t>
            </w:r>
          </w:p>
        </w:tc>
        <w:tc>
          <w:tcPr>
            <w:tcW w:w="2769" w:type="dxa"/>
          </w:tcPr>
          <w:p>
            <w:pPr>
              <w:spacing w:before="0" w:after="0" w:line="240" w:lineRule="auto"/>
              <w:jc w:val="left"/>
            </w:pPr>
            <w:r>
              <w:rPr>
                <w:b w:val="0"/>
                <w:sz w:val="18"/>
              </w:rPr>
              <w:t>Restates a field-standard threshold or the operational meaning of the measure (false positive).</w:t>
            </w:r>
          </w:p>
        </w:tc>
      </w:tr>
      <w:tr>
        <w:tc>
          <w:tcPr>
            <w:tcW w:w="2769" w:type="dxa"/>
          </w:tcPr>
          <w:p>
            <w:pPr>
              <w:spacing w:before="0" w:after="0" w:line="240" w:lineRule="auto"/>
              <w:jc w:val="left"/>
            </w:pPr>
            <w:r>
              <w:rPr>
                <w:b w:val="0"/>
                <w:sz w:val="18"/>
              </w:rPr>
              <w:t>potential + noun</w:t>
            </w:r>
          </w:p>
        </w:tc>
        <w:tc>
          <w:tcPr>
            <w:tcW w:w="2769" w:type="dxa"/>
          </w:tcPr>
          <w:p>
            <w:pPr>
              <w:spacing w:before="0" w:after="0" w:line="240" w:lineRule="auto"/>
              <w:jc w:val="left"/>
            </w:pPr>
            <w:r>
              <w:rPr>
                <w:b w:val="0"/>
                <w:sz w:val="18"/>
              </w:rPr>
              <w:t>Results or conclusion frame that qualifies a finding-claim, and the Working Test holds.</w:t>
            </w:r>
          </w:p>
        </w:tc>
        <w:tc>
          <w:tcPr>
            <w:tcW w:w="2769" w:type="dxa"/>
          </w:tcPr>
          <w:p>
            <w:pPr>
              <w:spacing w:before="0" w:after="0" w:line="240" w:lineRule="auto"/>
              <w:jc w:val="left"/>
            </w:pPr>
            <w:r>
              <w:rPr>
                <w:b w:val="0"/>
                <w:sz w:val="18"/>
              </w:rPr>
              <w:t>Aim or methods clause (non-claim / topic-naming; fails the claim condition).</w:t>
            </w:r>
          </w:p>
        </w:tc>
      </w:tr>
      <w:tr>
        <w:tc>
          <w:tcPr>
            <w:tcW w:w="2769" w:type="dxa"/>
          </w:tcPr>
          <w:p>
            <w:pPr>
              <w:spacing w:before="0" w:after="0" w:line="240" w:lineRule="auto"/>
              <w:jc w:val="left"/>
            </w:pPr>
            <w:r>
              <w:rPr>
                <w:b w:val="0"/>
                <w:sz w:val="18"/>
              </w:rPr>
              <w:t>possibility + noun</w:t>
            </w:r>
          </w:p>
        </w:tc>
        <w:tc>
          <w:tcPr>
            <w:tcW w:w="2769" w:type="dxa"/>
          </w:tcPr>
          <w:p>
            <w:pPr>
              <w:spacing w:before="0" w:after="0" w:line="240" w:lineRule="auto"/>
              <w:jc w:val="left"/>
            </w:pPr>
            <w:r>
              <w:rPr>
                <w:b w:val="0"/>
                <w:sz w:val="18"/>
              </w:rPr>
              <w:t>Same claim-condition treatment as potential when the host is a finding-claim.</w:t>
            </w:r>
          </w:p>
        </w:tc>
        <w:tc>
          <w:tcPr>
            <w:tcW w:w="2769" w:type="dxa"/>
          </w:tcPr>
          <w:p>
            <w:pPr>
              <w:spacing w:before="0" w:after="0" w:line="240" w:lineRule="auto"/>
              <w:jc w:val="left"/>
            </w:pPr>
            <w:r>
              <w:rPr>
                <w:b w:val="0"/>
                <w:sz w:val="18"/>
              </w:rPr>
              <w:t>Aim or method sentence (non-claim).</w:t>
            </w:r>
          </w:p>
        </w:tc>
      </w:tr>
      <w:tr>
        <w:tc>
          <w:tcPr>
            <w:tcW w:w="2769" w:type="dxa"/>
            <w:tcBorders>
              <w:bottom w:color="000000" w:space="0" w:sz="18" w:val="single"/>
            </w:tcBorders>
          </w:tcPr>
          <w:p>
            <w:pPr>
              <w:spacing w:before="0" w:after="0" w:line="240" w:lineRule="auto"/>
              <w:jc w:val="left"/>
            </w:pPr>
            <w:r>
              <w:rPr>
                <w:b w:val="0"/>
                <w:sz w:val="18"/>
              </w:rPr>
              <w:t>Multiple hedge-like tokens in one sentence</w:t>
            </w:r>
          </w:p>
        </w:tc>
        <w:tc>
          <w:tcPr>
            <w:tcW w:w="2769" w:type="dxa"/>
            <w:tcBorders>
              <w:bottom w:color="000000" w:space="0" w:sz="18" w:val="single"/>
            </w:tcBorders>
          </w:tcPr>
          <w:p>
            <w:pPr>
              <w:spacing w:before="0" w:after="0" w:line="240" w:lineRule="auto"/>
              <w:jc w:val="left"/>
            </w:pPr>
            <w:r>
              <w:rPr>
                <w:b w:val="0"/>
                <w:sz w:val="18"/>
              </w:rPr>
              <w:t>Each token is tested on its own host clause under the claim condition and the two removal checks.</w:t>
            </w:r>
          </w:p>
        </w:tc>
        <w:tc>
          <w:tcPr>
            <w:tcW w:w="2769" w:type="dxa"/>
            <w:tcBorders>
              <w:bottom w:color="000000" w:space="0" w:sz="18" w:val="single"/>
            </w:tcBorders>
          </w:tcPr>
          <w:p>
            <w:pPr>
              <w:spacing w:before="0" w:after="0" w:line="240" w:lineRule="auto"/>
              <w:jc w:val="left"/>
            </w:pPr>
            <w:r>
              <w:rPr>
                <w:b w:val="0"/>
                <w:sz w:val="18"/>
              </w:rPr>
              <w:t>A preceding hedge (e.g., suggest) does not determine the function of another token (e.g., can).</w:t>
            </w:r>
          </w:p>
        </w:tc>
      </w:tr>
    </w:tbl>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7A">
      <w:pPr>
        <w:keepNext w:val="1"/>
        <w:spacing w:after="0" w:before="240" w:line="480" w:lineRule="auto"/>
        <w:ind w:firstLine="0"/>
        <w:jc w:val="center"/>
        <w:rPr/>
      </w:pPr>
      <w:r>
        <w:rPr>
          <w:rFonts w:ascii="Georgia" w:hAnsi="Georgia" w:eastAsia="Georgia"/>
          <w:b/>
          <w:sz w:val="22"/>
        </w:rPr>
        <w:t>Table 2</w:t>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Pr>
          <w:rFonts w:ascii="Georgia" w:hAnsi="Georgia" w:eastAsia="Georgia"/>
          <w:b w:val="0"/>
          <w:sz w:val="22"/>
        </w:rPr>
        <w:t>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Pr>
          <w:rFonts w:ascii="Georgia" w:hAnsi="Georgia" w:eastAsia="Georgia" w:cs="Georgia"/>
          <w:b w:val="0"/>
          <w:sz w:val="22"/>
        </w:rPr>
        <w:t>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w:t>
      </w:r>
    </w:p>
    <w:p w:rsidR="00000000" w:rsidDel="00000000" w:rsidP="00000000" w:rsidRDefault="00000000" w:rsidRPr="00000000" w14:paraId="000000A9">
      <w:pPr>
        <w:keepNext w:val="1"/>
        <w:pageBreakBefore w:val="1"/>
        <w:spacing w:after="0" w:before="720" w:line="480" w:lineRule="auto"/>
        <w:ind w:firstLine="0"/>
        <w:jc w:val="center"/>
        <w:rPr/>
      </w:pPr>
      <w:r>
        <w:rPr>
          <w:rFonts w:ascii="Georgia" w:hAnsi="Georgia" w:eastAsia="Georgia" w:cs="Georgia"/>
          <w:b/>
          <w:sz w:val="24"/>
        </w:rPr>
        <w:t>Table 3</w:t>
      </w:r>
    </w:p>
    <w:p w:rsidR="00000000" w:rsidDel="00000000" w:rsidP="00000000" w:rsidRDefault="00000000" w:rsidRPr="00000000" w14:paraId="000000AA">
      <w:pPr>
        <w:keepNext w:val="1"/>
        <w:spacing w:after="60" w:before="0" w:line="480" w:lineRule="auto"/>
        <w:jc w:val="center"/>
        <w:rPr/>
      </w:pPr>
      <w:r w:rsidDel="00000000" w:rsidR="00000000" w:rsidRPr="00000000">
        <w:rPr>
          <w:rFonts w:ascii="Georgia" w:hAnsi="Georgia" w:cs="Georgia" w:eastAsia="Georgia"/>
          <w:b w:val="0"/>
          <w:sz w:val="24"/>
          <w:rtl w:val="0"/>
        </w:rPr>
        <w:t>Hedge Types by Count and Discipline</w:t>
      </w:r>
    </w:p>
    <w:p w:rsidR="00000000" w:rsidDel="00000000" w:rsidP="00000000" w:rsidRDefault="00000000" w:rsidRPr="00000000" w14:paraId="000000BD">
      <w:pPr>
        <w:spacing w:after="0" w:before="240" w:line="480" w:lineRule="auto"/>
        <w:ind w:firstLine="720"/>
        <w:jc w:val="both"/>
        <w:rPr/>
      </w:pPr>
      <w:r>
        <w:rPr>
          <w:rFonts w:ascii="Times New Roman" w:hAnsi="Times New Roman" w:eastAsia="Times New Roman" w:cs="Times New Roman"/>
          <w:b w:val="0"/>
          <w:sz w:val="22"/>
        </w:rPr>
        <w:t>Table 3 reports each hedge type with the forms attested under that type and the counts by discipline (Biology, Veterinary Medicine, Agriculture). Lexical hedges dominate overall (42 tokens), followed by modal verbs (20) and adverbial hedges (3); no clause-level hedges appear. Agriculture is nearly balanced (13 modal vs. 14 lexical). Biology is heavily lexical (20 of 28). Veterinary Medicine’s small total (10) is also mostly lexical (8), with only 2 modal verbs. Among lexical forms, potential is the single most frequent token (19 instances).</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c>
          <w:tcPr>
            <w:tcW w:type="dxa" w:w="1661"/>
            <w:tcBorders>
              <w:bottom w:val="single" w:sz="4" w:color="000000" w:space="0"/>
            </w:tcBorders>
          </w:tcPr>
          <w:p>
            <w:pPr>
              <w:spacing w:before="0" w:after="0" w:line="240" w:lineRule="auto"/>
            </w:pPr>
            <w:r>
              <w:rPr>
                <w:rFonts w:ascii="Georgia" w:hAnsi="Georgia" w:cs="Georgia" w:eastAsia="Georgia"/>
                <w:b/>
                <w:sz w:val="18"/>
              </w:rPr>
              <w:t>Hedge type</w:t>
            </w:r>
          </w:p>
        </w:tc>
        <w:tc>
          <w:tcPr>
            <w:tcW w:type="dxa" w:w="1661"/>
            <w:tcBorders>
              <w:bottom w:val="single" w:sz="4" w:color="000000" w:space="0"/>
            </w:tcBorders>
          </w:tcPr>
          <w:p>
            <w:pPr>
              <w:spacing w:before="0" w:after="0" w:line="240" w:lineRule="auto"/>
            </w:pPr>
            <w:r>
              <w:rPr>
                <w:rFonts w:ascii="Georgia" w:hAnsi="Georgia" w:cs="Georgia" w:eastAsia="Georgia"/>
                <w:b/>
                <w:sz w:val="18"/>
              </w:rPr>
              <w:t>Hedges</w:t>
            </w:r>
          </w:p>
        </w:tc>
        <w:tc>
          <w:tcPr>
            <w:tcW w:type="dxa" w:w="1661"/>
            <w:tcBorders>
              <w:bottom w:val="single" w:sz="4" w:color="000000" w:space="0"/>
            </w:tcBorders>
          </w:tcPr>
          <w:p>
            <w:pPr>
              <w:spacing w:before="0" w:after="0" w:line="240" w:lineRule="auto"/>
            </w:pPr>
            <w:r>
              <w:rPr>
                <w:rFonts w:ascii="Georgia" w:hAnsi="Georgia" w:cs="Georgia" w:eastAsia="Georgia"/>
                <w:b/>
                <w:sz w:val="18"/>
              </w:rPr>
              <w:t>Biology</w:t>
            </w:r>
          </w:p>
        </w:tc>
        <w:tc>
          <w:tcPr>
            <w:tcW w:type="dxa" w:w="1661"/>
            <w:tcBorders>
              <w:bottom w:val="single" w:sz="4" w:color="000000" w:space="0"/>
            </w:tcBorders>
          </w:tcPr>
          <w:p>
            <w:pPr>
              <w:spacing w:before="0" w:after="0" w:line="240" w:lineRule="auto"/>
            </w:pPr>
            <w:r>
              <w:rPr>
                <w:rFonts w:ascii="Georgia" w:hAnsi="Georgia" w:cs="Georgia" w:eastAsia="Georgia"/>
                <w:b/>
                <w:sz w:val="18"/>
              </w:rPr>
              <w:t>Veterinary Medicine</w:t>
            </w:r>
          </w:p>
        </w:tc>
        <w:tc>
          <w:tcPr>
            <w:tcW w:type="dxa" w:w="1661"/>
            <w:tcBorders>
              <w:bottom w:val="single" w:sz="4" w:color="000000" w:space="0"/>
            </w:tcBorders>
          </w:tcPr>
          <w:p>
            <w:pPr>
              <w:spacing w:before="0" w:after="0" w:line="240" w:lineRule="auto"/>
            </w:pPr>
            <w:r>
              <w:rPr>
                <w:rFonts w:ascii="Georgia" w:hAnsi="Georgia" w:cs="Georgia" w:eastAsia="Georgia"/>
                <w:b/>
                <w:sz w:val="18"/>
              </w:rPr>
              <w:t>Agriculture</w:t>
            </w:r>
          </w:p>
        </w:tc>
      </w:tr>
      <w:tr>
        <w:tc>
          <w:tcPr>
            <w:tcW w:type="dxa" w:w="1661"/>
          </w:tcPr>
          <w:p>
            <w:pPr>
              <w:spacing w:before="0" w:after="0" w:line="240" w:lineRule="auto"/>
            </w:pPr>
            <w:r>
              <w:rPr>
                <w:rFonts w:ascii="Georgia" w:hAnsi="Georgia" w:cs="Georgia" w:eastAsia="Georgia"/>
                <w:b w:val="0"/>
                <w:sz w:val="18"/>
              </w:rPr>
              <w:t>Modal verbs</w:t>
            </w:r>
          </w:p>
        </w:tc>
        <w:tc>
          <w:tcPr>
            <w:tcW w:type="dxa" w:w="1661"/>
          </w:tcPr>
          <w:p>
            <w:pPr>
              <w:spacing w:before="0" w:after="0" w:line="240" w:lineRule="auto"/>
            </w:pPr>
            <w:r>
              <w:rPr>
                <w:rFonts w:ascii="Georgia" w:hAnsi="Georgia" w:cs="Georgia" w:eastAsia="Georgia"/>
                <w:b w:val="0"/>
                <w:sz w:val="18"/>
              </w:rPr>
              <w:t>can</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5</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could</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3</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may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3</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might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2</w:t>
            </w:r>
          </w:p>
        </w:tc>
      </w:tr>
      <w:tr>
        <w:tc>
          <w:tcPr>
            <w:tcW w:type="dxa" w:w="1661"/>
          </w:tcPr>
          <w:p>
            <w:pPr>
              <w:spacing w:before="0" w:after="0" w:line="240" w:lineRule="auto"/>
            </w:pPr>
            <w:r>
              <w:rPr>
                <w:rFonts w:ascii="Georgia" w:hAnsi="Georgia" w:cs="Georgia" w:eastAsia="Georgia"/>
                <w:b w:val="0"/>
                <w:sz w:val="18"/>
              </w:rPr>
              <w:t>Lexical hedges</w:t>
            </w:r>
          </w:p>
        </w:tc>
        <w:tc>
          <w:tcPr>
            <w:tcW w:type="dxa" w:w="1661"/>
          </w:tcPr>
          <w:p>
            <w:pPr>
              <w:spacing w:before="0" w:after="0" w:line="240" w:lineRule="auto"/>
            </w:pPr>
            <w:r>
              <w:rPr>
                <w:rFonts w:ascii="Georgia" w:hAnsi="Georgia" w:cs="Georgia" w:eastAsia="Georgia"/>
                <w:b w:val="0"/>
                <w:sz w:val="18"/>
              </w:rPr>
              <w:t>potential</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4</w:t>
            </w:r>
          </w:p>
        </w:tc>
        <w:tc>
          <w:tcPr>
            <w:tcW w:type="dxa" w:w="1661"/>
          </w:tcPr>
          <w:p>
            <w:pPr>
              <w:spacing w:before="0" w:after="0" w:line="240" w:lineRule="auto"/>
            </w:pPr>
            <w:r>
              <w:rPr>
                <w:rFonts w:ascii="Georgia" w:hAnsi="Georgia" w:cs="Georgia" w:eastAsia="Georgia"/>
                <w:b w:val="0"/>
                <w:sz w:val="18"/>
              </w:rPr>
              <w:t>5</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suggest / suggests / suggesting</w:t>
            </w:r>
          </w:p>
        </w:tc>
        <w:tc>
          <w:tcPr>
            <w:tcW w:type="dxa" w:w="1661"/>
          </w:tcPr>
          <w:p>
            <w:pPr>
              <w:spacing w:before="0" w:after="0" w:line="240" w:lineRule="auto"/>
            </w:pPr>
            <w:r>
              <w:rPr>
                <w:rFonts w:ascii="Georgia" w:hAnsi="Georgia" w:cs="Georgia" w:eastAsia="Georgia"/>
                <w:b w:val="0"/>
                <w:sz w:val="18"/>
              </w:rPr>
              <w:t>6</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6</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implies / implying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indicating / indicates</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likely</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inferring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possible</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Adverbial hedges</w:t>
            </w:r>
          </w:p>
        </w:tc>
        <w:tc>
          <w:tcPr>
            <w:tcW w:type="dxa" w:w="1661"/>
          </w:tcPr>
          <w:p>
            <w:pPr>
              <w:spacing w:before="0" w:after="0" w:line="240" w:lineRule="auto"/>
            </w:pPr>
            <w:r>
              <w:rPr>
                <w:rFonts w:ascii="Georgia" w:hAnsi="Georgia" w:cs="Georgia" w:eastAsia="Georgia"/>
                <w:b w:val="0"/>
                <w:sz w:val="18"/>
              </w:rPr>
              <w:t>potentially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Clause-level hedges</w:t>
            </w:r>
          </w:p>
        </w:tc>
        <w:tc>
          <w:tcPr>
            <w:tcW w:type="dxa" w:w="1661"/>
          </w:tcPr>
          <w:p>
            <w:pPr>
              <w:spacing w:before="0" w:after="0" w:line="240" w:lineRule="auto"/>
            </w:pPr>
            <w:r>
              <w:rPr>
                <w:rFonts w:ascii="Georgia" w:hAnsi="Georgia" w:cs="Georgia" w:eastAsia="Georgia"/>
                <w:b w:val="0"/>
                <w:sz w:val="18"/>
              </w:rPr>
              <w: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Total</w:t>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28</w:t>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10</w:t>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27</w:t>
            </w:r>
          </w:p>
        </w:tc>
      </w:tr>
    </w:tbl>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Pr>
          <w:rFonts w:ascii="Georgia" w:hAnsi="Georgia" w:eastAsia="Georgia" w:cs="Georgia"/>
          <w:b w:val="0"/>
          <w:sz w:val="22"/>
        </w:rPr>
        <w:t>Alongside the 65 retained epistemic caution hedges (and no politeness/deference tokens), the corpus yielded 65 false positive tokens, hedge-like words that failed the claim condition or both removal checks at Step 2. Those retained-hedge and false-positive totals are set out together in Part III.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Pr>
          <w:rFonts w:ascii="Times New Roman" w:hAnsi="Times New Roman" w:eastAsia="Times New Roman" w:cs="Times New Roman"/>
          <w:b w:val="0"/>
          <w:sz w:val="22"/>
        </w:rPr>
        <w:t>Cross-disciplinary comparison shows differences in hedge density, driven mainly by Veterinary Medicine’s lower rate. Table 4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ind w:firstLine="0"/>
        <w:jc w:val="center"/>
        <w:rPr/>
      </w:pPr>
      <w:r>
        <w:rPr>
          <w:rFonts w:ascii="Georgia" w:hAnsi="Georgia" w:eastAsia="Times New Roman" w:cs="Georgia"/>
          <w:b/>
          <w:sz w:val="24"/>
        </w:rPr>
        <w:t>Table 4</w:t>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False positives</w:t>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Pr>
          <w:rFonts w:ascii="Times New Roman" w:hAnsi="Times New Roman" w:eastAsia="Times New Roman" w:cs="Times New Roman"/>
          <w:b w:val="0"/>
          <w:sz w:val="22"/>
        </w:rPr>
        <w:t>Table 4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Fonts w:ascii="Times New Roman" w:hAnsi="Times New Roman" w:cs="Times New Roman"/>
          <w:b w:val="0"/>
          <w:sz w:val="22"/>
          <w:rtl w:val="0"/>
        </w:rPr>
        <w:t>Veterinary Medicine's low density is more difficult to interpret. Many VM abstracts in this corpus reported clinical findings from animal studies (e.g., drug efficacy trials, disease detection, hematological profiling). Outcome-type coding later in this chapter tests the obvious explanation—that VM abstracts mostly report binary results—and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Pr>
          <w:rFonts w:ascii="Times New Roman" w:hAnsi="Times New Roman" w:eastAsia="Times New Roman" w:cs="Times New Roman"/>
          <w:b w:val="0"/>
          <w:sz w:val="22"/>
        </w:rPr>
        <w:t>Table 5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ind w:firstLine="0"/>
        <w:jc w:val="center"/>
        <w:rPr/>
      </w:pPr>
      <w:r>
        <w:rPr>
          <w:rFonts w:ascii="Georgia" w:hAnsi="Georgia" w:eastAsia="Georgia" w:cs="Georgia"/>
          <w:b/>
          <w:sz w:val="24"/>
        </w:rPr>
        <w:t>Table 5</w:t>
      </w:r>
    </w:p>
    <w:p w:rsidR="00000000" w:rsidDel="00000000" w:rsidP="00000000" w:rsidRDefault="00000000" w:rsidRPr="00000000" w14:paraId="00000164">
      <w:pPr>
        <w:keepNext w:val="1"/>
        <w:spacing w:after="60" w:before="0" w:line="480" w:lineRule="auto"/>
        <w:jc w:val="center"/>
        <w:rPr/>
      </w:pPr>
      <w:r w:rsidDel="00000000" w:rsidR="00000000" w:rsidRPr="00000000">
        <w:rPr>
          <w:rFonts w:ascii="Georgia" w:hAnsi="Georgia" w:cs="Georgia" w:eastAsia="Georgia"/>
          <w:b w:val="0"/>
          <w:sz w:val="24"/>
          <w:rtl w:val="0"/>
        </w:rPr>
        <w:t>Function Distribution among Candidate Tokens</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val="single" w:sz="4" w:color="000000" w:space="0"/>
              <w:left w:val="nil"/>
              <w:right w:val="nil"/>
              <w:top w:val="nil"/>
            </w:tcBorders>
          </w:tcPr>
          <w:p w:rsidR="00000000" w:rsidDel="00000000" w:rsidP="00000000" w:rsidRDefault="00000000" w:rsidRPr="00000000" w14:paraId="00000165">
            <w:pPr>
              <w:spacing w:after="0" w:before="0" w:line="240" w:lineRule="auto"/>
              <w:rPr>
                <w:sz w:val="18"/>
                <w:szCs w:val="18"/>
              </w:rPr>
            </w:pPr>
            <w:r>
              <w:rPr>
                <w:rFonts w:ascii="Georgia" w:hAnsi="Georgia" w:cs="Georgia" w:eastAsia="Georgia"/>
                <w:b/>
                <w:sz w:val="18"/>
              </w:rPr>
              <w:t>Function</w:t>
            </w:r>
          </w:p>
        </w:tc>
        <w:tc>
          <w:tcPr>
            <w:tcBorders>
              <w:bottom w:val="single" w:sz="4" w:color="000000" w:space="0"/>
              <w:left w:val="nil"/>
              <w:right w:val="nil"/>
              <w:top w:val="nil"/>
            </w:tcBorders>
          </w:tcPr>
          <w:p w:rsidR="00000000" w:rsidDel="00000000" w:rsidP="00000000" w:rsidRDefault="00000000" w:rsidRPr="00000000" w14:paraId="00000166">
            <w:pPr>
              <w:spacing w:after="0" w:before="0" w:line="240" w:lineRule="auto"/>
              <w:rPr>
                <w:sz w:val="18"/>
                <w:szCs w:val="18"/>
              </w:rPr>
            </w:pPr>
            <w:r>
              <w:rPr>
                <w:rFonts w:ascii="Georgia" w:hAnsi="Georgia" w:cs="Georgia" w:eastAsia="Georgia"/>
                <w:b/>
                <w:sz w:val="18"/>
              </w:rPr>
              <w:t>Frequency</w:t>
            </w:r>
          </w:p>
        </w:tc>
        <w:tc>
          <w:tcPr>
            <w:tcBorders>
              <w:bottom w:val="single" w:sz="4" w:color="000000" w:space="0"/>
              <w:left w:val="nil"/>
              <w:right w:val="nil"/>
              <w:top w:val="nil"/>
            </w:tcBorders>
          </w:tcPr>
          <w:p w:rsidR="00000000" w:rsidDel="00000000" w:rsidP="00000000" w:rsidRDefault="00000000" w:rsidRPr="00000000" w14:paraId="00000167">
            <w:pPr>
              <w:spacing w:after="0" w:before="0" w:line="240" w:lineRule="auto"/>
              <w:rPr>
                <w:sz w:val="18"/>
                <w:szCs w:val="18"/>
              </w:rPr>
            </w:pPr>
            <w:r>
              <w:rPr>
                <w:rFonts w:ascii="Georgia" w:hAnsi="Georgia" w:cs="Georgia" w:eastAsia="Georgia"/>
                <w:b/>
                <w:sz w:val="18"/>
              </w:rPr>
              <w:t>Note</w:t>
            </w:r>
          </w:p>
        </w:tc>
      </w:tr>
      <w:tr>
        <w:trPr>
          <w:cantSplit w:val="1"/>
          <w:tblHeader w:val="0"/>
        </w:trPr>
        <w:tc>
          <w:tcPr/>
          <w:p w:rsidR="00000000" w:rsidDel="00000000" w:rsidP="00000000" w:rsidRDefault="00000000" w:rsidRPr="00000000" w14:paraId="00000168">
            <w:pPr>
              <w:spacing w:after="0" w:before="0" w:line="240" w:lineRule="auto"/>
              <w:rPr>
                <w:sz w:val="18"/>
                <w:szCs w:val="18"/>
              </w:rPr>
            </w:pPr>
            <w:r>
              <w:rPr>
                <w:rFonts w:ascii="Georgia" w:hAnsi="Georgia" w:cs="Georgia" w:eastAsia="Georgia"/>
                <w:b w:val="0"/>
                <w:sz w:val="18"/>
              </w:rPr>
              <w:t>Epistemic caution</w:t>
            </w:r>
          </w:p>
        </w:tc>
        <w:tc>
          <w:tcPr/>
          <w:p w:rsidR="00000000" w:rsidDel="00000000" w:rsidP="00000000" w:rsidRDefault="00000000" w:rsidRPr="00000000" w14:paraId="00000169">
            <w:pPr>
              <w:spacing w:after="0" w:before="0" w:line="240" w:lineRule="auto"/>
              <w:rPr>
                <w:sz w:val="18"/>
                <w:szCs w:val="18"/>
              </w:rPr>
            </w:pPr>
            <w:r>
              <w:rPr>
                <w:rFonts w:ascii="Georgia" w:hAnsi="Georgia" w:cs="Georgia" w:eastAsia="Georgia"/>
                <w:b w:val="0"/>
                <w:sz w:val="18"/>
              </w:rPr>
              <w:t>65</w:t>
            </w:r>
          </w:p>
        </w:tc>
        <w:tc>
          <w:tcPr/>
          <w:p w:rsidR="00000000" w:rsidDel="00000000" w:rsidP="00000000" w:rsidRDefault="00000000" w:rsidRPr="00000000" w14:paraId="0000016A">
            <w:pPr>
              <w:spacing w:after="0" w:before="0" w:line="240" w:lineRule="auto"/>
              <w:rPr>
                <w:sz w:val="18"/>
                <w:szCs w:val="18"/>
              </w:rPr>
            </w:pPr>
            <w:r>
              <w:rPr>
                <w:rFonts w:ascii="Georgia" w:hAnsi="Georgia" w:cs="Georgia" w:eastAsia="Georgia"/>
                <w:b w:val="0"/>
                <w:sz w:val="18"/>
              </w:rPr>
              <w:t>Retained; passed Working Test</w:t>
            </w:r>
          </w:p>
        </w:tc>
      </w:tr>
      <w:tr>
        <w:trPr>
          <w:cantSplit w:val="1"/>
          <w:tblHeader w:val="0"/>
        </w:trPr>
        <w:tc>
          <w:tcPr/>
          <w:p w:rsidR="00000000" w:rsidDel="00000000" w:rsidP="00000000" w:rsidRDefault="00000000" w:rsidRPr="00000000" w14:paraId="0000016B">
            <w:pPr>
              <w:spacing w:after="0" w:before="0" w:line="240" w:lineRule="auto"/>
              <w:rPr>
                <w:sz w:val="18"/>
                <w:szCs w:val="18"/>
              </w:rPr>
            </w:pPr>
            <w:r>
              <w:rPr>
                <w:rFonts w:ascii="Georgia" w:hAnsi="Georgia" w:cs="Georgia" w:eastAsia="Georgia"/>
                <w:b w:val="0"/>
                <w:sz w:val="18"/>
              </w:rPr>
              <w:t>Politeness / deference</w:t>
            </w:r>
          </w:p>
        </w:tc>
        <w:tc>
          <w:tcPr/>
          <w:p w:rsidR="00000000" w:rsidDel="00000000" w:rsidP="00000000" w:rsidRDefault="00000000" w:rsidRPr="00000000" w14:paraId="0000016C">
            <w:pPr>
              <w:spacing w:after="0" w:before="0" w:line="240" w:lineRule="auto"/>
              <w:rPr>
                <w:sz w:val="18"/>
                <w:szCs w:val="18"/>
              </w:rPr>
            </w:pPr>
            <w:r>
              <w:rPr>
                <w:rFonts w:ascii="Georgia" w:hAnsi="Georgia" w:cs="Georgia" w:eastAsia="Georgia"/>
                <w:b w:val="0"/>
                <w:sz w:val="18"/>
              </w:rPr>
              <w:t>0</w:t>
            </w:r>
          </w:p>
        </w:tc>
        <w:tc>
          <w:tcPr/>
          <w:p w:rsidR="00000000" w:rsidDel="00000000" w:rsidP="00000000" w:rsidRDefault="00000000" w:rsidRPr="00000000" w14:paraId="0000016D">
            <w:pPr>
              <w:spacing w:after="0" w:before="0" w:line="240" w:lineRule="auto"/>
              <w:rPr>
                <w:sz w:val="18"/>
                <w:szCs w:val="18"/>
              </w:rPr>
            </w:pPr>
            <w:r>
              <w:rPr>
                <w:rFonts w:ascii="Georgia" w:hAnsi="Georgia" w:cs="Georgia" w:eastAsia="Georgia"/>
                <w:b w:val="0"/>
                <w:sz w:val="18"/>
              </w:rPr>
              <w:t>Null in this sample</w:t>
            </w:r>
          </w:p>
        </w:tc>
      </w:tr>
      <w:tr>
        <w:trPr>
          <w:cantSplit w:val="1"/>
          <w:tblHeader w:val="0"/>
        </w:trPr>
        <w:tc>
          <w:tcPr/>
          <w:p w:rsidR="00000000" w:rsidDel="00000000" w:rsidP="00000000" w:rsidRDefault="00000000" w:rsidRPr="00000000" w14:paraId="0000016E">
            <w:pPr>
              <w:spacing w:after="0" w:before="0" w:line="240" w:lineRule="auto"/>
              <w:rPr>
                <w:sz w:val="18"/>
                <w:szCs w:val="18"/>
              </w:rPr>
            </w:pPr>
            <w:r>
              <w:rPr>
                <w:rFonts w:ascii="Georgia" w:hAnsi="Georgia" w:cs="Georgia" w:eastAsia="Georgia"/>
                <w:b w:val="0"/>
                <w:sz w:val="18"/>
              </w:rPr>
              <w:t>False positive</w:t>
            </w:r>
          </w:p>
        </w:tc>
        <w:tc>
          <w:tcPr/>
          <w:p w:rsidR="00000000" w:rsidDel="00000000" w:rsidP="00000000" w:rsidRDefault="00000000" w:rsidRPr="00000000" w14:paraId="0000016F">
            <w:pPr>
              <w:spacing w:after="0" w:before="0" w:line="240" w:lineRule="auto"/>
              <w:rPr>
                <w:sz w:val="18"/>
                <w:szCs w:val="18"/>
              </w:rPr>
            </w:pPr>
            <w:r>
              <w:rPr>
                <w:rFonts w:ascii="Georgia" w:hAnsi="Georgia" w:cs="Georgia" w:eastAsia="Georgia"/>
                <w:b w:val="0"/>
                <w:sz w:val="18"/>
              </w:rPr>
              <w:t>65</w:t>
            </w:r>
          </w:p>
        </w:tc>
        <w:tc>
          <w:tcPr/>
          <w:p w:rsidR="00000000" w:rsidDel="00000000" w:rsidP="00000000" w:rsidRDefault="00000000" w:rsidRPr="00000000" w14:paraId="00000170">
            <w:pPr>
              <w:spacing w:after="0" w:before="0" w:line="240" w:lineRule="auto"/>
              <w:rPr>
                <w:sz w:val="18"/>
                <w:szCs w:val="18"/>
              </w:rPr>
            </w:pPr>
            <w:r>
              <w:rPr>
                <w:rFonts w:ascii="Georgia" w:hAnsi="Georgia" w:cs="Georgia" w:eastAsia="Georgia"/>
                <w:b w:val="0"/>
                <w:sz w:val="18"/>
              </w:rPr>
              <w:t>Not retained (failed claim condition or removal checks)</w:t>
            </w:r>
          </w:p>
        </w:tc>
      </w:tr>
      <w:tr>
        <w:trPr>
          <w:cantSplit w:val="1"/>
          <w:tblHeader w:val="0"/>
        </w:trPr>
        <w:tc>
          <w:tcPr>
            <w:tcBorders>
              <w:top w:val="single" w:sz="4" w:color="000000" w:space="0"/>
              <w:left w:val="nil"/>
              <w:right w:val="nil"/>
              <w:bottom w:val="nil"/>
            </w:tcBorders>
          </w:tcPr>
          <w:p w:rsidR="00000000" w:rsidDel="00000000" w:rsidP="00000000" w:rsidRDefault="00000000" w:rsidRPr="00000000" w14:paraId="00000171">
            <w:pPr>
              <w:spacing w:after="0" w:before="0" w:line="240" w:lineRule="auto"/>
              <w:rPr>
                <w:sz w:val="18"/>
                <w:szCs w:val="18"/>
              </w:rPr>
            </w:pPr>
            <w:r>
              <w:rPr>
                <w:rFonts w:ascii="Georgia" w:hAnsi="Georgia" w:cs="Georgia" w:eastAsia="Georgia"/>
                <w:b w:val="0"/>
                <w:sz w:val="18"/>
              </w:rPr>
              <w:t>Total</w:t>
            </w:r>
          </w:p>
        </w:tc>
        <w:tc>
          <w:tcPr>
            <w:tcBorders>
              <w:top w:val="single" w:sz="4" w:color="000000" w:space="0"/>
              <w:left w:val="nil"/>
              <w:right w:val="nil"/>
              <w:bottom w:val="nil"/>
            </w:tcBorders>
          </w:tcPr>
          <w:p w:rsidR="00000000" w:rsidDel="00000000" w:rsidP="00000000" w:rsidRDefault="00000000" w:rsidRPr="00000000" w14:paraId="00000172">
            <w:pPr>
              <w:spacing w:after="0" w:before="0" w:line="240" w:lineRule="auto"/>
              <w:rPr>
                <w:sz w:val="18"/>
                <w:szCs w:val="18"/>
              </w:rPr>
            </w:pPr>
            <w:r>
              <w:rPr>
                <w:rFonts w:ascii="Georgia" w:hAnsi="Georgia" w:cs="Georgia" w:eastAsia="Georgia"/>
                <w:b w:val="0"/>
                <w:sz w:val="18"/>
              </w:rPr>
              <w:t>130</w:t>
            </w:r>
          </w:p>
        </w:tc>
        <w:tc>
          <w:tcPr>
            <w:tcBorders>
              <w:top w:val="single" w:sz="4" w:color="000000" w:space="0"/>
              <w:left w:val="nil"/>
              <w:right w:val="nil"/>
              <w:bottom w:val="nil"/>
            </w:tcBorders>
          </w:tcPr>
          <w:p w:rsidR="00000000" w:rsidDel="00000000" w:rsidP="00000000" w:rsidRDefault="00000000" w:rsidRPr="00000000" w14:paraId="00000173">
            <w:pPr>
              <w:spacing w:after="0" w:before="0" w:line="240" w:lineRule="auto"/>
              <w:rPr>
                <w:sz w:val="18"/>
                <w:szCs w:val="18"/>
              </w:rPr>
            </w:pPr>
            <w:r>
              <w:rPr>
                <w:rFonts w:ascii="Georgia" w:hAnsi="Georgia" w:cs="Georgia" w:eastAsia="Georgia"/>
                <w:b w:val="0"/>
                <w:sz w:val="18"/>
              </w:rPr>
              <w:t>Logged candidate decisions</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ind w:firstLine="0"/>
        <w:jc w:val="center"/>
        <w:rPr/>
      </w:pPr>
      <w:r>
        <w:rPr>
          <w:rFonts w:ascii="Georgia" w:hAnsi="Georgia" w:eastAsia="Georgia" w:cs="Georgia"/>
          <w:b/>
          <w:sz w:val="24"/>
        </w:rPr>
        <w:t>Table 6</w:t>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Pr>
          <w:rFonts w:ascii="Times New Roman" w:hAnsi="Times New Roman" w:eastAsia="Times New Roman" w:cs="Times New Roman"/>
          <w:b w:val="0"/>
          <w:sz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6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Pr>
          <w:rFonts w:ascii="Times New Roman" w:hAnsi="Times New Roman" w:eastAsia="Times New Roman" w:cs="Times New Roman"/>
          <w:b w:val="0"/>
          <w:sz w:val="22"/>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4),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
        <w:t>Doğan, Z. N., &amp; Akbaş, E. (2021). An exploratory study of epistemic stance in results and discussion sections of medical research articles. Atatürk Üniversitesi Sosyal Bilimler Enstitüsü Dergisi, 25(3), 1132–1150. https://doi.org/10.53487/ataunisosbil.951126</w:t>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
        <w:t>Lingard, L. (2026). Rhetorical candour: When and how to say it straight in your academic manuscript. Perspectives on Medical Education, 15(1), 251–256. https://doi.org/10.5334/pme.2269</w:t>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
        <w:t>Sepehri, M., Hajijalili, M., &amp; Namaziandost, E. (2019). Hedges and boosters in medical and engineering research articles: A comparative corpus-based study. Global Journal of Foreign Language Teaching, 9(4), 203–213. https://doi.org/10.18844/gjflt.v9i4.4342</w:t>
      </w:r>
    </w:p>
    <w:p>
      <w:pPr>
        <w:spacing w:line="480" w:lineRule="auto"/>
        <w:ind w:left="720" w:hanging="720"/>
      </w:pPr>
      <w:r>
        <w:rPr>
          <w:rFonts w:ascii="Georgia" w:hAnsi="Georgia" w:eastAsia="Georgia"/>
          <w:sz w:val="22"/>
        </w:rPr>
        <w:t>Takimoto, M. (2015). Assertions and lexical invisibility in EFL learners’ academic essays. Journal of Pragmatics, 89, 85–99. https://doi.org/10.1016/j.pragma.2015.09.009</w:t>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