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240"/>
        <w:ind w:firstLine="0"/>
        <w:jc w:val="center"/>
      </w:pPr>
      <w:r>
        <w:rPr>
          <w:rFonts w:ascii="Georgia" w:hAnsi="Georgia" w:eastAsia="Georgia"/>
          <w:b/>
          <w:i w:val="0"/>
          <w:sz w:val="24"/>
        </w:rPr>
        <w:t>RESULTS, ANALYSIS, AND DISCUSSION</w:t>
      </w:r>
    </w:p>
    <w:p>
      <w:pPr>
        <w:spacing w:line="480" w:lineRule="auto" w:before="0" w:after="0"/>
        <w:ind w:firstLine="720"/>
        <w:jc w:val="both"/>
      </w:pPr>
      <w:r>
        <w:rPr>
          <w:rFonts w:ascii="Georgia" w:hAnsi="Georgia" w:eastAsia="Georgia"/>
          <w:b w:val="0"/>
          <w:i w:val="0"/>
          <w:sz w:val="22"/>
        </w:rPr>
        <w:t>This chapter presents the results, analysis, and discussion of the rhetorical appeals and directive subtypes identified in the call-to-action (CTA) phrases of Facebook skincare advertisement captions. As an English Language Studies project, the chapter treats those findings as patterns in English use: how short commercial utterances encode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directive subtypes and rhetorical appeals contribute to the construction of persuasive meaning in the CTA phrases.</w:t>
      </w:r>
    </w:p>
    <w:p>
      <w:pPr>
        <w:spacing w:line="480" w:lineRule="auto" w:before="240" w:after="0"/>
        <w:ind w:firstLine="0"/>
        <w:jc w:val="left"/>
      </w:pPr>
      <w:r>
        <w:rPr>
          <w:rFonts w:ascii="Georgia" w:hAnsi="Georgia" w:eastAsia="Georgia"/>
          <w:b/>
          <w:i w:val="0"/>
          <w:sz w:val="24"/>
        </w:rPr>
        <w:t>Part I. Rhetorical Appeals Used in the CTA Phrases</w:t>
      </w:r>
    </w:p>
    <w:p>
      <w:pPr>
        <w:spacing w:line="480" w:lineRule="auto" w:before="0" w:after="0"/>
        <w:ind w:firstLine="720"/>
        <w:jc w:val="both"/>
      </w:pPr>
      <w:r>
        <w:rPr>
          <w:rFonts w:ascii="Georgia" w:hAnsi="Georgia" w:eastAsia="Georgia"/>
          <w:b w:val="0"/>
          <w:i w:val="0"/>
          <w:sz w:val="22"/>
        </w:rPr>
        <w:t>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w:t>
      </w:r>
    </w:p>
    <w:p>
      <w:pPr>
        <w:spacing w:line="480" w:lineRule="auto" w:before="240" w:after="0"/>
        <w:ind w:firstLine="0"/>
        <w:jc w:val="center"/>
      </w:pPr>
      <w:r>
        <w:rPr>
          <w:rFonts w:ascii="Georgia" w:hAnsi="Georgia" w:eastAsia="Georgia"/>
          <w:b/>
          <w:i w:val="0"/>
          <w:sz w:val="22"/>
        </w:rPr>
        <w:t>Table 1</w:t>
      </w:r>
    </w:p>
    <w:p>
      <w:pPr>
        <w:spacing w:line="480" w:lineRule="auto" w:before="0" w:after="120"/>
        <w:ind w:firstLine="0"/>
        <w:jc w:val="center"/>
      </w:pPr>
      <w:r>
        <w:rPr>
          <w:rFonts w:ascii="Georgia" w:hAnsi="Georgia" w:eastAsia="Georgia"/>
          <w:b w:val="0"/>
          <w:i/>
          <w:sz w:val="22"/>
        </w:rPr>
        <w:t>Frequency and Percentage Distribution of Rhetorical Appeals</w:t>
      </w:r>
    </w:p>
    <w:p>
      <w:pPr>
        <w:spacing w:line="480" w:lineRule="auto" w:before="0" w:after="0"/>
        <w:jc w:val="both"/>
      </w:pPr>
      <w:r>
        <w:rPr>
          <w:rFonts w:ascii="Georgia" w:hAnsi="Georgia" w:eastAsia="Georgia"/>
          <w:b w:val="0"/>
          <w:i w:val="0"/>
          <w:sz w:val="22"/>
        </w:rPr>
        <w:t>Rhetorical Appeal</w:t>
        <w:tab/>
        <w:t>Frequency</w:t>
        <w:tab/>
        <w:t>Percentage</w:t>
      </w:r>
    </w:p>
    <w:p>
      <w:pPr>
        <w:spacing w:line="480" w:lineRule="auto" w:before="0" w:after="0"/>
        <w:jc w:val="both"/>
      </w:pPr>
      <w:r>
        <w:rPr>
          <w:rFonts w:ascii="Georgia" w:hAnsi="Georgia" w:eastAsia="Georgia"/>
          <w:b w:val="0"/>
          <w:i w:val="0"/>
          <w:sz w:val="22"/>
        </w:rPr>
        <w:t>Logos</w:t>
        <w:tab/>
        <w:t>22</w:t>
        <w:tab/>
        <w:t>64.71%</w:t>
      </w:r>
    </w:p>
    <w:p>
      <w:pPr>
        <w:spacing w:line="480" w:lineRule="auto" w:before="0" w:after="0"/>
        <w:jc w:val="both"/>
      </w:pPr>
      <w:r>
        <w:rPr>
          <w:rFonts w:ascii="Georgia" w:hAnsi="Georgia" w:eastAsia="Georgia"/>
          <w:b w:val="0"/>
          <w:i w:val="0"/>
          <w:sz w:val="22"/>
        </w:rPr>
        <w:t>Pathos</w:t>
        <w:tab/>
        <w:t>11</w:t>
        <w:tab/>
        <w:t>32.35%</w:t>
      </w:r>
    </w:p>
    <w:p>
      <w:pPr>
        <w:spacing w:line="480" w:lineRule="auto" w:before="0" w:after="0"/>
        <w:jc w:val="both"/>
      </w:pPr>
      <w:r>
        <w:rPr>
          <w:rFonts w:ascii="Georgia" w:hAnsi="Georgia" w:eastAsia="Georgia"/>
          <w:b w:val="0"/>
          <w:i w:val="0"/>
          <w:sz w:val="22"/>
        </w:rPr>
        <w:t>Ethos</w:t>
        <w:tab/>
        <w:t>1</w:t>
        <w:tab/>
        <w:t>2.94%</w:t>
      </w:r>
    </w:p>
    <w:p>
      <w:pPr>
        <w:spacing w:line="480" w:lineRule="auto" w:before="0" w:after="0"/>
        <w:jc w:val="both"/>
      </w:pPr>
      <w:r>
        <w:rPr>
          <w:rFonts w:ascii="Georgia" w:hAnsi="Georgia" w:eastAsia="Georgia"/>
          <w:b w:val="0"/>
          <w:i w:val="0"/>
          <w:sz w:val="22"/>
        </w:rPr>
        <w:t>Total</w:t>
        <w:tab/>
        <w:t>34</w:t>
        <w:tab/>
        <w:t>100%</w:t>
      </w:r>
    </w:p>
    <w:p>
      <w:pPr>
        <w:spacing w:line="480" w:lineRule="auto" w:before="0" w:after="0"/>
        <w:ind w:firstLine="720"/>
        <w:jc w:val="both"/>
      </w:pPr>
      <w:r>
        <w:rPr>
          <w:rFonts w:ascii="Georgia" w:hAnsi="Georgia" w:eastAsia="Georgia"/>
          <w:b w:val="0"/>
          <w:i w:val="0"/>
          <w:sz w:val="22"/>
        </w:rPr>
        <w:t>Table 1 shows that logos had the highest frequency, with 22 instances (64.71%), followed by pathos with 11 instances (32.35%). Ethos had the lowest frequency, with only one instance (2.94%). Each of the 34 CTA phrases was classified according to its dominant rhetorical appeal. From an English Language Studies perspective, this distribution describes how persuasive English is worded in the sample: product-related information and stated benefits supply the main textual basis for persuasion more often than emotional or credibility-framed wording.</w:t>
      </w:r>
    </w:p>
    <w:p>
      <w:pPr>
        <w:spacing w:line="480" w:lineRule="auto" w:before="0" w:after="0"/>
        <w:ind w:firstLine="720"/>
        <w:jc w:val="both"/>
      </w:pPr>
      <w:r>
        <w:rPr>
          <w:rFonts w:ascii="Georgia" w:hAnsi="Georgia" w:eastAsia="Georgia"/>
          <w:b w:val="0"/>
          <w:i w:val="0"/>
          <w:sz w:val="22"/>
        </w:rPr>
        <w:t>A closer examination of logos across the five brands showed that The Ordinary had the highest frequency, with seven instances. Luxe Organix and Pond’s followed with five instances each, while Olay had three and Myra had two. The captions associated with these CTA phrases commonly presented product ingredients, features, numerical information, stated benefits, prices, and usage instructions. For example, Olay used “Get the power of 5 serum benefits in just one bottle!” where the number “5” and the reference to serum benefits provide specific product-related information. Luxe Organix captions likewise presented ingredients, sun protection, product functions, and prices. These elements supported classification under logos because they offer reasons for considering the product. That reading is consistent with logos as persuasion through logical reasoning or argument (Stanford Encyclopedia of Philosophy, 2022) and with digital-advertising analyses that locate logos in facts, specifications, and product data (Nasir et al., 2025).</w:t>
      </w:r>
    </w:p>
    <w:p>
      <w:pPr>
        <w:spacing w:line="480" w:lineRule="auto" w:before="0" w:after="0"/>
        <w:ind w:firstLine="720"/>
        <w:jc w:val="both"/>
      </w:pPr>
      <w:r>
        <w:rPr>
          <w:rFonts w:ascii="Georgia" w:hAnsi="Georgia" w:eastAsia="Georgia"/>
          <w:b w:val="0"/>
          <w:i w:val="0"/>
          <w:sz w:val="22"/>
        </w:rPr>
        <w:t>Pathos was identified in 11 CTA phrases. Olay and Myra had four instances each, followed by Luxe Organix with two and Pond’s with one. No CTA phrase from The Ordinary was classified under pathos. Captions in this group used expressions related to desirable skin conditions, emotional associations, promotional excitement, and urgency—for example Olay’s “Wrap your skin in love,” “glowy, refreshed skin,” and “Don’t miss out!”; Luxe Organix’s “Want to achieve a youthful skin?”; and Myra’s “Give her the gift of youthful radiance.” Such wording appeals to desire, care, and urgency. Beauty-advertising research often finds pathos realized through aspirational appearance and affective framing (Dwiyanti, 2024). In English terms, pathos here is carried by evaluative lexis (youthful, glow, radiance) and interpersonal frames (gift, love, miss out).</w:t>
      </w:r>
    </w:p>
    <w:p>
      <w:pPr>
        <w:spacing w:line="480" w:lineRule="auto" w:before="0" w:after="0"/>
        <w:ind w:firstLine="720"/>
        <w:jc w:val="both"/>
      </w:pPr>
      <w:r>
        <w:rPr>
          <w:rFonts w:ascii="Georgia" w:hAnsi="Georgia" w:eastAsia="Georgia"/>
          <w:b w:val="0"/>
          <w:i w:val="0"/>
          <w:sz w:val="22"/>
        </w:rPr>
        <w:t>Ethos was identified in only one CTA phrase, from Myra: “Myra’s trusted skincare essentials,” where trusted supplies an explicit credibility cue. By contrast, “made by Myra” in another advertisement was not treated as ethos merely because it named the brand; accompanying words such as Glow and Radiance supported a pathos reading instead. Classification therefore rested on textual evidence of trustworthiness, not on brand identification alone. That distinction follows the definition of ethos as an appeal based on credibility (Stanford Encyclopedia of Philosophy, 2022) and keeps the coding rule available for defense: form alone does not equal function.</w:t>
      </w:r>
    </w:p>
    <w:p>
      <w:pPr>
        <w:spacing w:line="480" w:lineRule="auto" w:before="0" w:after="0"/>
        <w:ind w:firstLine="720"/>
        <w:jc w:val="both"/>
      </w:pPr>
      <w:r>
        <w:rPr>
          <w:rFonts w:ascii="Georgia" w:hAnsi="Georgia" w:eastAsia="Georgia"/>
          <w:b w:val="0"/>
          <w:i w:val="0"/>
          <w:sz w:val="22"/>
        </w:rPr>
        <w:t>The findings can be compared with Dwiyanti (2024), who examined persuasive techniques in makeup and skincare video advertisements and found pathos most frequent, with logos and ethos less common. The present study found logos dominant. The difference is better read as a difference in material and unit of analysis—short CTA-centered Facebook captions versus multimodal video advertisements—than as a claim that the platform itself caused the shift. Philippine Facebook advertising work has also shown ethos and pathos operating strongly in other product sectors (De Castro &amp; Martinez, 2025; Talaue, 2022), which further suggests that rhetorical distribution tracks discourse type and coding focus as much as product category.</w:t>
      </w:r>
    </w:p>
    <w:p>
      <w:pPr>
        <w:spacing w:line="480" w:lineRule="auto" w:before="0" w:after="0"/>
        <w:ind w:firstLine="720"/>
        <w:jc w:val="both"/>
      </w:pPr>
      <w:r>
        <w:rPr>
          <w:rFonts w:ascii="Georgia" w:hAnsi="Georgia" w:eastAsia="Georgia"/>
          <w:b w:val="0"/>
          <w:i w:val="0"/>
          <w:sz w:val="22"/>
        </w:rPr>
        <w:t>Overall, logos, pathos, and ethos were all present in the selected captions. Logos was the most frequent appeal, followed by pathos and ethos. For English Language Studies, the main point is not market effectiveness but wording: in this corpus, persuasive English in skincare CTAs most often builds on product information and stated benefits, with emotional and credibility resources used more selectively.</w:t>
      </w:r>
    </w:p>
    <w:p>
      <w:pPr>
        <w:spacing w:line="480" w:lineRule="auto" w:before="240" w:after="0"/>
        <w:ind w:firstLine="0"/>
        <w:jc w:val="center"/>
      </w:pPr>
      <w:r>
        <w:rPr>
          <w:rFonts w:ascii="Georgia" w:hAnsi="Georgia" w:eastAsia="Georgia"/>
          <w:b/>
          <w:i w:val="0"/>
          <w:sz w:val="22"/>
        </w:rPr>
        <w:t>Table 2</w:t>
      </w:r>
    </w:p>
    <w:p>
      <w:pPr>
        <w:spacing w:line="480" w:lineRule="auto" w:before="0" w:after="120"/>
        <w:ind w:firstLine="0"/>
        <w:jc w:val="center"/>
      </w:pPr>
      <w:r>
        <w:rPr>
          <w:rFonts w:ascii="Georgia" w:hAnsi="Georgia" w:eastAsia="Georgia"/>
          <w:b w:val="0"/>
          <w:i/>
          <w:sz w:val="22"/>
        </w:rPr>
        <w:t>Sample Analysis of Rhetorical Appeals</w:t>
      </w:r>
    </w:p>
    <w:p>
      <w:pPr>
        <w:spacing w:line="480" w:lineRule="auto" w:before="0" w:after="0"/>
        <w:jc w:val="both"/>
      </w:pPr>
      <w:r>
        <w:rPr>
          <w:rFonts w:ascii="Georgia" w:hAnsi="Georgia" w:eastAsia="Georgia"/>
          <w:b w:val="0"/>
          <w:i/>
          <w:sz w:val="22"/>
        </w:rPr>
        <w:t>[Table 2 retained from the working draft: sample rows for Olay, Luxe Organix, The Ordinary, Myra, and Pond’s with caption, appeal, and interpretation. Insert the full table from the Chapter 3 draft when formatting the final document.]</w:t>
      </w:r>
    </w:p>
    <w:p>
      <w:pPr>
        <w:spacing w:line="480" w:lineRule="auto" w:before="0" w:after="0"/>
        <w:ind w:firstLine="720"/>
        <w:jc w:val="both"/>
      </w:pPr>
      <w:r>
        <w:rPr>
          <w:rFonts w:ascii="Georgia" w:hAnsi="Georgia" w:eastAsia="Georgia"/>
          <w:b w:val="0"/>
          <w:i w:val="0"/>
          <w:sz w:val="22"/>
        </w:rPr>
        <w:t>The sample analysis in Table 2 illustrates how rhetorical appeals were identified from textual evidence in the captions. Logos appears through product information, stated benefits, and practical detail; pathos through emotional association and desirable outcomes. These examples show how different rhetorical resources of English construct persuasive meaning in the selected advertisements.</w:t>
      </w:r>
    </w:p>
    <w:p>
      <w:pPr>
        <w:spacing w:line="480" w:lineRule="auto" w:before="240" w:after="0"/>
        <w:ind w:firstLine="0"/>
        <w:jc w:val="left"/>
      </w:pPr>
      <w:r>
        <w:rPr>
          <w:rFonts w:ascii="Georgia" w:hAnsi="Georgia" w:eastAsia="Georgia"/>
          <w:b/>
          <w:i w:val="0"/>
          <w:sz w:val="24"/>
        </w:rPr>
        <w:t>Part II. Directive Subtypes Present in the CTA Phrases</w:t>
      </w:r>
    </w:p>
    <w:p>
      <w:pPr>
        <w:spacing w:line="480" w:lineRule="auto" w:before="0" w:after="0"/>
        <w:ind w:firstLine="720"/>
        <w:jc w:val="both"/>
      </w:pPr>
      <w:r>
        <w:rPr>
          <w:rFonts w:ascii="Georgia" w:hAnsi="Georgia" w:eastAsia="Georgia"/>
          <w:b w:val="0"/>
          <w:i w:val="0"/>
          <w:sz w:val="22"/>
        </w:rPr>
        <w:t>The coding identified two directive subtypes across the 34 CTA phrases: order and suggestion. Four subtypes were available in the framework—command, order, request, and suggestion—following Yule (1996) as operationalized by Anggraini and Afriana (2023). Directives, in Searle’s taxonomy, are illocutionary acts through which the speaker attempts to get the hearer to do something (Searle, 1975, 1976). Table 3 presents the distribution of directive subtypes across the five brands.</w:t>
      </w:r>
    </w:p>
    <w:p>
      <w:pPr>
        <w:spacing w:line="480" w:lineRule="auto" w:before="240" w:after="0"/>
        <w:ind w:firstLine="0"/>
        <w:jc w:val="center"/>
      </w:pPr>
      <w:r>
        <w:rPr>
          <w:rFonts w:ascii="Georgia" w:hAnsi="Georgia" w:eastAsia="Georgia"/>
          <w:b/>
          <w:i w:val="0"/>
          <w:sz w:val="22"/>
        </w:rPr>
        <w:t>Table 3</w:t>
      </w:r>
    </w:p>
    <w:p>
      <w:pPr>
        <w:spacing w:line="480" w:lineRule="auto" w:before="0" w:after="120"/>
        <w:ind w:firstLine="0"/>
        <w:jc w:val="center"/>
      </w:pPr>
      <w:r>
        <w:rPr>
          <w:rFonts w:ascii="Georgia" w:hAnsi="Georgia" w:eastAsia="Georgia"/>
          <w:b w:val="0"/>
          <w:i/>
          <w:sz w:val="22"/>
        </w:rPr>
        <w:t>Frequency and Percentage Distribution of Directive Subtypes</w:t>
      </w:r>
    </w:p>
    <w:p>
      <w:pPr>
        <w:spacing w:line="480" w:lineRule="auto" w:before="0" w:after="0"/>
        <w:jc w:val="both"/>
      </w:pPr>
      <w:r>
        <w:rPr>
          <w:rFonts w:ascii="Georgia" w:hAnsi="Georgia" w:eastAsia="Georgia"/>
          <w:b w:val="0"/>
          <w:i w:val="0"/>
          <w:sz w:val="22"/>
        </w:rPr>
        <w:t>Directive Subtype</w:t>
        <w:tab/>
        <w:t>Frequency</w:t>
        <w:tab/>
        <w:t>Percentage</w:t>
      </w:r>
    </w:p>
    <w:p>
      <w:pPr>
        <w:spacing w:line="480" w:lineRule="auto" w:before="0" w:after="0"/>
        <w:jc w:val="both"/>
      </w:pPr>
      <w:r>
        <w:rPr>
          <w:rFonts w:ascii="Georgia" w:hAnsi="Georgia" w:eastAsia="Georgia"/>
          <w:b w:val="0"/>
          <w:i w:val="0"/>
          <w:sz w:val="22"/>
        </w:rPr>
        <w:t>Command</w:t>
        <w:tab/>
        <w:t>0</w:t>
        <w:tab/>
        <w:t>0%</w:t>
      </w:r>
    </w:p>
    <w:p>
      <w:pPr>
        <w:spacing w:line="480" w:lineRule="auto" w:before="0" w:after="0"/>
        <w:jc w:val="both"/>
      </w:pPr>
      <w:r>
        <w:rPr>
          <w:rFonts w:ascii="Georgia" w:hAnsi="Georgia" w:eastAsia="Georgia"/>
          <w:b w:val="0"/>
          <w:i w:val="0"/>
          <w:sz w:val="22"/>
        </w:rPr>
        <w:t>Order</w:t>
        <w:tab/>
        <w:t>22</w:t>
        <w:tab/>
        <w:t>64.71%</w:t>
      </w:r>
    </w:p>
    <w:p>
      <w:pPr>
        <w:spacing w:line="480" w:lineRule="auto" w:before="0" w:after="0"/>
        <w:jc w:val="both"/>
      </w:pPr>
      <w:r>
        <w:rPr>
          <w:rFonts w:ascii="Georgia" w:hAnsi="Georgia" w:eastAsia="Georgia"/>
          <w:b w:val="0"/>
          <w:i w:val="0"/>
          <w:sz w:val="22"/>
        </w:rPr>
        <w:t>Suggestion</w:t>
        <w:tab/>
        <w:t>12</w:t>
        <w:tab/>
        <w:t>35.29%</w:t>
      </w:r>
    </w:p>
    <w:p>
      <w:pPr>
        <w:spacing w:line="480" w:lineRule="auto" w:before="0" w:after="0"/>
        <w:jc w:val="both"/>
      </w:pPr>
      <w:r>
        <w:rPr>
          <w:rFonts w:ascii="Georgia" w:hAnsi="Georgia" w:eastAsia="Georgia"/>
          <w:b w:val="0"/>
          <w:i w:val="0"/>
          <w:sz w:val="22"/>
        </w:rPr>
        <w:t>Request</w:t>
        <w:tab/>
        <w:t>0</w:t>
        <w:tab/>
        <w:t>0%</w:t>
      </w:r>
    </w:p>
    <w:p>
      <w:pPr>
        <w:spacing w:line="480" w:lineRule="auto" w:before="0" w:after="0"/>
        <w:jc w:val="both"/>
      </w:pPr>
      <w:r>
        <w:rPr>
          <w:rFonts w:ascii="Georgia" w:hAnsi="Georgia" w:eastAsia="Georgia"/>
          <w:b w:val="0"/>
          <w:i w:val="0"/>
          <w:sz w:val="22"/>
        </w:rPr>
        <w:t>Total</w:t>
        <w:tab/>
        <w:t>34</w:t>
        <w:tab/>
        <w:t>100%</w:t>
      </w:r>
    </w:p>
    <w:p>
      <w:pPr>
        <w:spacing w:line="480" w:lineRule="auto" w:before="0" w:after="0"/>
        <w:ind w:firstLine="720"/>
        <w:jc w:val="both"/>
      </w:pPr>
      <w:r>
        <w:rPr>
          <w:rFonts w:ascii="Georgia" w:hAnsi="Georgia" w:eastAsia="Georgia"/>
          <w:b w:val="0"/>
          <w:i w:val="0"/>
          <w:sz w:val="22"/>
        </w:rPr>
        <w:t>Table 3 shows that order was the most frequent subtype (22 instances; 64.71%), followed by suggestion (12; 35.29%). No command or request was identified. Orders appeared across all five brands; suggestions varied by brand. Parallel work on beauty captions has likewise found directive language used to encourage purchase and engagement, often through commands, suggestions, invitations, and advice (e.g., analyses of NIVEA Instagram captions using Searle’s framework). In English Language Studies terms, the CTA is not only promotional copy; it is an utterance that performs a social action.</w:t>
      </w:r>
    </w:p>
    <w:p>
      <w:pPr>
        <w:spacing w:line="480" w:lineRule="auto" w:before="0" w:after="0"/>
        <w:ind w:firstLine="720"/>
        <w:jc w:val="both"/>
      </w:pPr>
      <w:r>
        <w:rPr>
          <w:rFonts w:ascii="Georgia" w:hAnsi="Georgia" w:eastAsia="Georgia"/>
          <w:b w:val="0"/>
          <w:i w:val="0"/>
          <w:sz w:val="22"/>
        </w:rPr>
        <w:t>Orders directed consumers toward concrete commercial actions: checking out products, shopping, choosing from a range, adding items to a cart, exploring a website, applying a product, or obtaining an item online. Examples include Olay’s “Shop now at Watsons, S&amp;R, Robinsons Department Store, Landmark Department Store, Shopee and Lazada” and The Ordinary’s “Discover now via theordinary.com.” These were classified as orders because they directly instruct the audience to perform a specific action. Advertising research on imperatives notes that commercial directives often take short, verb-led English forms and that their force may function more like instruction or recommendation than institutional command (Pennock-Speck &amp; Fuster-Márquez, 2014).</w:t>
      </w:r>
    </w:p>
    <w:p>
      <w:pPr>
        <w:spacing w:line="480" w:lineRule="auto" w:before="0" w:after="0"/>
        <w:ind w:firstLine="720"/>
        <w:jc w:val="both"/>
      </w:pPr>
      <w:r>
        <w:rPr>
          <w:rFonts w:ascii="Georgia" w:hAnsi="Georgia" w:eastAsia="Georgia"/>
          <w:b w:val="0"/>
          <w:i w:val="0"/>
          <w:sz w:val="22"/>
        </w:rPr>
        <w:t>Suggestion was identified in 12 CTA phrases, most often in Myra and Pond’s, with fewer cases in The Ordinary and Luxe Organix, and none in Olay. These expressions encouraged consumers to consider trying a product, incorporating it into a routine, or pursuing a desired result—for example Luxe Organix’s “Try this newest Niacinamide + Retinol cloudsoap!,” The Ordinary’s “Power Up Your P.M.,” and Myra’s “Give her the gift of youthful radiance with Myra Ultimate.” Under the operational definitions adopted from Anggraini and Afriana (2023), suggestion proposes a course of action while leaving the hearer room to accept or refuse it. The English of suggestion in this corpus often retains an imperative surface (Try, Give, Experience) but carries lower directive force than order.</w:t>
      </w:r>
    </w:p>
    <w:p>
      <w:pPr>
        <w:spacing w:line="480" w:lineRule="auto" w:before="0" w:after="0"/>
        <w:ind w:firstLine="720"/>
        <w:jc w:val="both"/>
      </w:pPr>
      <w:r>
        <w:rPr>
          <w:rFonts w:ascii="Georgia" w:hAnsi="Georgia" w:eastAsia="Georgia"/>
          <w:b w:val="0"/>
          <w:i w:val="0"/>
          <w:sz w:val="22"/>
        </w:rPr>
        <w:t>No instances of command or request met the operational criteria. Command, in the adopted framework, implies a stronger authority asymmetry; request implies a more polite ask. Commercial Facebook CTAs in this sample clustered instead on order and suggestion. That pattern is consistent with advertising English that prefers clear action prompts without the interpersonal softening typical of polite requests or the institutional force of true commands (Pennock-Speck &amp; Fuster-Márquez, 2014).</w:t>
      </w:r>
    </w:p>
    <w:p>
      <w:pPr>
        <w:spacing w:line="480" w:lineRule="auto" w:before="0" w:after="0"/>
        <w:ind w:firstLine="720"/>
        <w:jc w:val="both"/>
      </w:pPr>
      <w:r>
        <w:rPr>
          <w:rFonts w:ascii="Georgia" w:hAnsi="Georgia" w:eastAsia="Georgia"/>
          <w:b w:val="0"/>
          <w:i w:val="0"/>
          <w:sz w:val="22"/>
        </w:rPr>
        <w:t>Overall, order dominated and suggestion was secondary. For English Language Studies, the finding answers the second research question as a distribution of illocutionary subtypes in English CTA phrases: the selected advertisements mainly use direct instruction and, less often, recommended consideration. Command and request were available in the scheme but did not appear in the data.</w:t>
      </w:r>
    </w:p>
    <w:p>
      <w:pPr>
        <w:spacing w:line="480" w:lineRule="auto" w:before="240" w:after="0"/>
        <w:ind w:firstLine="0"/>
        <w:jc w:val="center"/>
      </w:pPr>
      <w:r>
        <w:rPr>
          <w:rFonts w:ascii="Georgia" w:hAnsi="Georgia" w:eastAsia="Georgia"/>
          <w:b/>
          <w:i w:val="0"/>
          <w:sz w:val="22"/>
        </w:rPr>
        <w:t>Table 4</w:t>
      </w:r>
    </w:p>
    <w:p>
      <w:pPr>
        <w:spacing w:line="480" w:lineRule="auto" w:before="0" w:after="120"/>
        <w:ind w:firstLine="0"/>
        <w:jc w:val="center"/>
      </w:pPr>
      <w:r>
        <w:rPr>
          <w:rFonts w:ascii="Georgia" w:hAnsi="Georgia" w:eastAsia="Georgia"/>
          <w:b w:val="0"/>
          <w:i/>
          <w:sz w:val="22"/>
        </w:rPr>
        <w:t>Sample Analysis of Directive Subtypes</w:t>
      </w:r>
    </w:p>
    <w:p>
      <w:pPr>
        <w:spacing w:line="480" w:lineRule="auto" w:before="0" w:after="0"/>
        <w:jc w:val="both"/>
      </w:pPr>
      <w:r>
        <w:rPr>
          <w:rFonts w:ascii="Georgia" w:hAnsi="Georgia" w:eastAsia="Georgia"/>
          <w:b w:val="0"/>
          <w:i/>
          <w:sz w:val="22"/>
        </w:rPr>
        <w:t>[Table 4 retained from the working draft: sample rows for Olay, Luxe Organix, The Ordinary, Myra, and Pond’s. Insert the full table when formatting the final document.]</w:t>
      </w:r>
    </w:p>
    <w:p>
      <w:pPr>
        <w:spacing w:line="480" w:lineRule="auto" w:before="0" w:after="0"/>
        <w:ind w:firstLine="720"/>
        <w:jc w:val="both"/>
      </w:pPr>
      <w:r>
        <w:rPr>
          <w:rFonts w:ascii="Georgia" w:hAnsi="Georgia" w:eastAsia="Georgia"/>
          <w:b w:val="0"/>
          <w:i w:val="0"/>
          <w:sz w:val="22"/>
        </w:rPr>
        <w:t>Table 4 illustrates how directive subtypes were identified from the wording and communicative function of the CTA phrases. Orders instruct; suggestions invite consideration. Both are English directives in Searle’s sense, distinguished by force under Yule’s subtypes.</w:t>
      </w:r>
    </w:p>
    <w:p>
      <w:pPr>
        <w:spacing w:line="480" w:lineRule="auto" w:before="240" w:after="0"/>
        <w:ind w:firstLine="0"/>
        <w:jc w:val="left"/>
      </w:pPr>
      <w:r>
        <w:rPr>
          <w:rFonts w:ascii="Georgia" w:hAnsi="Georgia" w:eastAsia="Georgia"/>
          <w:b/>
          <w:i w:val="0"/>
          <w:sz w:val="24"/>
        </w:rPr>
        <w:t>Part III. Constructing Persuasive Meaning</w:t>
      </w:r>
    </w:p>
    <w:p>
      <w:pPr>
        <w:spacing w:line="480" w:lineRule="auto" w:before="0" w:after="0"/>
        <w:ind w:firstLine="720"/>
        <w:jc w:val="both"/>
      </w:pPr>
      <w:r>
        <w:rPr>
          <w:rFonts w:ascii="Georgia" w:hAnsi="Georgia" w:eastAsia="Georgia"/>
          <w:b w:val="0"/>
          <w:i w:val="0"/>
          <w:sz w:val="22"/>
        </w:rPr>
        <w:t>Part III examines how rhetorical appeals and directive subtypes combine in the 34 CTA phrases. The analysis treats persuasive meaning as jointly constructed: the appeal supplies a reason, emotion, or credibility frame in English, while the directive subtype supplies the illocutionary force that seeks audience action. Table 5 presents the frequency and percentage distribution of these combinations.</w:t>
      </w:r>
    </w:p>
    <w:p>
      <w:pPr>
        <w:spacing w:line="480" w:lineRule="auto" w:before="240" w:after="0"/>
        <w:ind w:firstLine="0"/>
        <w:jc w:val="center"/>
      </w:pPr>
      <w:r>
        <w:rPr>
          <w:rFonts w:ascii="Georgia" w:hAnsi="Georgia" w:eastAsia="Georgia"/>
          <w:b/>
          <w:i w:val="0"/>
          <w:sz w:val="22"/>
        </w:rPr>
        <w:t>Table 5</w:t>
      </w:r>
    </w:p>
    <w:p>
      <w:pPr>
        <w:spacing w:line="480" w:lineRule="auto" w:before="0" w:after="120"/>
        <w:ind w:firstLine="0"/>
        <w:jc w:val="center"/>
      </w:pPr>
      <w:r>
        <w:rPr>
          <w:rFonts w:ascii="Georgia" w:hAnsi="Georgia" w:eastAsia="Georgia"/>
          <w:b w:val="0"/>
          <w:i/>
          <w:sz w:val="22"/>
        </w:rPr>
        <w:t>Frequency and Percentage Distribution of Rhetorical Appeal and Directive Subtype Combinations</w:t>
      </w:r>
    </w:p>
    <w:p>
      <w:pPr>
        <w:spacing w:line="480" w:lineRule="auto" w:before="0" w:after="0"/>
        <w:jc w:val="both"/>
      </w:pPr>
      <w:r>
        <w:rPr>
          <w:rFonts w:ascii="Georgia" w:hAnsi="Georgia" w:eastAsia="Georgia"/>
          <w:b w:val="0"/>
          <w:i w:val="0"/>
          <w:sz w:val="22"/>
        </w:rPr>
        <w:t>Rhetorical Appeal + Directive Subtype</w:t>
        <w:tab/>
        <w:t>Frequency</w:t>
        <w:tab/>
        <w:t>Percentage</w:t>
      </w:r>
    </w:p>
    <w:p>
      <w:pPr>
        <w:spacing w:line="480" w:lineRule="auto" w:before="0" w:after="0"/>
        <w:jc w:val="both"/>
      </w:pPr>
      <w:r>
        <w:rPr>
          <w:rFonts w:ascii="Georgia" w:hAnsi="Georgia" w:eastAsia="Georgia"/>
          <w:b w:val="0"/>
          <w:i w:val="0"/>
          <w:sz w:val="22"/>
        </w:rPr>
        <w:t>Logos + Order</w:t>
        <w:tab/>
        <w:t>15</w:t>
        <w:tab/>
        <w:t>44.12%</w:t>
      </w:r>
    </w:p>
    <w:p>
      <w:pPr>
        <w:spacing w:line="480" w:lineRule="auto" w:before="0" w:after="0"/>
        <w:jc w:val="both"/>
      </w:pPr>
      <w:r>
        <w:rPr>
          <w:rFonts w:ascii="Georgia" w:hAnsi="Georgia" w:eastAsia="Georgia"/>
          <w:b w:val="0"/>
          <w:i w:val="0"/>
          <w:sz w:val="22"/>
        </w:rPr>
        <w:t>Pathos + Order</w:t>
        <w:tab/>
        <w:t>6</w:t>
        <w:tab/>
        <w:t>17.65%</w:t>
      </w:r>
    </w:p>
    <w:p>
      <w:pPr>
        <w:spacing w:line="480" w:lineRule="auto" w:before="0" w:after="0"/>
        <w:jc w:val="both"/>
      </w:pPr>
      <w:r>
        <w:rPr>
          <w:rFonts w:ascii="Georgia" w:hAnsi="Georgia" w:eastAsia="Georgia"/>
          <w:b w:val="0"/>
          <w:i w:val="0"/>
          <w:sz w:val="22"/>
        </w:rPr>
        <w:t>Ethos + Order</w:t>
        <w:tab/>
        <w:t>1</w:t>
        <w:tab/>
        <w:t>2.94%</w:t>
      </w:r>
    </w:p>
    <w:p>
      <w:pPr>
        <w:spacing w:line="480" w:lineRule="auto" w:before="0" w:after="0"/>
        <w:jc w:val="both"/>
      </w:pPr>
      <w:r>
        <w:rPr>
          <w:rFonts w:ascii="Georgia" w:hAnsi="Georgia" w:eastAsia="Georgia"/>
          <w:b w:val="0"/>
          <w:i w:val="0"/>
          <w:sz w:val="22"/>
        </w:rPr>
        <w:t>Logos + Suggestion</w:t>
        <w:tab/>
        <w:t>7</w:t>
        <w:tab/>
        <w:t>20.59%</w:t>
      </w:r>
    </w:p>
    <w:p>
      <w:pPr>
        <w:spacing w:line="480" w:lineRule="auto" w:before="0" w:after="0"/>
        <w:jc w:val="both"/>
      </w:pPr>
      <w:r>
        <w:rPr>
          <w:rFonts w:ascii="Georgia" w:hAnsi="Georgia" w:eastAsia="Georgia"/>
          <w:b w:val="0"/>
          <w:i w:val="0"/>
          <w:sz w:val="22"/>
        </w:rPr>
        <w:t>Pathos + Suggestion</w:t>
        <w:tab/>
        <w:t>5</w:t>
        <w:tab/>
        <w:t>14.71%</w:t>
      </w:r>
    </w:p>
    <w:p>
      <w:pPr>
        <w:spacing w:line="480" w:lineRule="auto" w:before="0" w:after="0"/>
        <w:jc w:val="both"/>
      </w:pPr>
      <w:r>
        <w:rPr>
          <w:rFonts w:ascii="Georgia" w:hAnsi="Georgia" w:eastAsia="Georgia"/>
          <w:b w:val="0"/>
          <w:i w:val="0"/>
          <w:sz w:val="22"/>
        </w:rPr>
        <w:t>Total</w:t>
        <w:tab/>
        <w:t>34</w:t>
        <w:tab/>
        <w:t>100%</w:t>
      </w:r>
    </w:p>
    <w:p>
      <w:pPr>
        <w:spacing w:line="480" w:lineRule="auto" w:before="0" w:after="0"/>
        <w:ind w:firstLine="720"/>
        <w:jc w:val="both"/>
      </w:pPr>
      <w:r>
        <w:rPr>
          <w:rFonts w:ascii="Georgia" w:hAnsi="Georgia" w:eastAsia="Georgia"/>
          <w:b w:val="0"/>
          <w:i w:val="0"/>
          <w:sz w:val="22"/>
        </w:rPr>
        <w:t>Logos + Order was the most frequent combination (15; 44.12%), followed by Logos + Suggestion (7; 20.59%), Pathos + Order (6; 17.65%), Pathos + Suggestion (5; 14.71%), and Ethos + Order (1; 2.94%). Studies that integrate rhetorical appeals with speech-act analysis in cosmetics and social-media advertising similarly treat persuasion as multi-layered: ads both argue and direct (Saad &amp; Ismael, 2025; related work on social-media cosmetics advertising). The present distribution specifies how that layering appears in English CTA phrases for five skincare brands on Facebook.</w:t>
      </w:r>
    </w:p>
    <w:p>
      <w:pPr>
        <w:spacing w:line="480" w:lineRule="auto" w:before="0" w:after="0"/>
        <w:ind w:firstLine="720"/>
        <w:jc w:val="both"/>
      </w:pPr>
      <w:r>
        <w:rPr>
          <w:rFonts w:ascii="Georgia" w:hAnsi="Georgia" w:eastAsia="Georgia"/>
          <w:b w:val="0"/>
          <w:i w:val="0"/>
          <w:sz w:val="22"/>
        </w:rPr>
        <w:t>Logos + Order, found in Olay, Luxe Organix, The Ordinary, and Pond’s, pairs product-related information with a direct instruction. English in this combination typically offers a product reason (ingredient, benefit, SPF, price) and simultaneously performs an order (Shop now, Apply, Discover). Logos supplies the informational basis; order directs the intended action. Logos + Suggestion, found in The Ordinary, Myra, and Pond’s, keeps the informational basis but softens the directive to an action the consumer may consider. Pathos + Order links desirable outcomes or affective frames with direct instruction, while Pathos + Suggestion links those frames with invited consideration. Ethos + Order appeared once in Myra, where explicit trust language accompanied a direct instruction. In each case, persuasive meaning is not appeal alone or directive alone; it is the English packaging of both in one CTA unit.</w:t>
      </w:r>
    </w:p>
    <w:p>
      <w:pPr>
        <w:spacing w:line="480" w:lineRule="auto" w:before="0" w:after="0"/>
        <w:ind w:firstLine="720"/>
        <w:jc w:val="both"/>
      </w:pPr>
      <w:r>
        <w:rPr>
          <w:rFonts w:ascii="Georgia" w:hAnsi="Georgia" w:eastAsia="Georgia"/>
          <w:b w:val="0"/>
          <w:i w:val="0"/>
          <w:sz w:val="22"/>
        </w:rPr>
        <w:t>Brand-level patterns refine the picture without changing the overall claim. Olay combined pathos or logos with order only. The Ordinary stayed within logos, paired with order or suggestion. Myra showed the widest mix, including the sole ethos case and a higher share of suggestion. Pond’s and Luxe Organix mixed logos- and pathos-based combinations. These are patterns of English choice in caption writing, not measures of campaign success.</w:t>
      </w:r>
    </w:p>
    <w:p>
      <w:pPr>
        <w:spacing w:line="480" w:lineRule="auto" w:before="0" w:after="0"/>
        <w:ind w:firstLine="720"/>
        <w:jc w:val="both"/>
      </w:pPr>
      <w:r>
        <w:rPr>
          <w:rFonts w:ascii="Georgia" w:hAnsi="Georgia" w:eastAsia="Georgia"/>
          <w:b w:val="0"/>
          <w:i w:val="0"/>
          <w:sz w:val="22"/>
        </w:rPr>
        <w:t>Overall, persuasive meaning in the selected Facebook skincare advertisements was constructed through the combination of rhetorical appeals and directive subtypes. Logos presented product-related information, pathos appealed to feelings and desired appearance, and ethos conveyed credibility when the wording supported it. Orders directed specific actions; suggestions invited consideration. As an English Language Studies analysis, the chapter accounts for how those resources are worded and what illocutionary work they do. It does not establish whether consumers purchased or used the products.</w:t>
      </w:r>
    </w:p>
    <w:p>
      <w:pPr>
        <w:spacing w:line="480" w:lineRule="auto" w:before="240" w:after="120"/>
        <w:ind w:firstLine="0"/>
        <w:jc w:val="center"/>
      </w:pPr>
      <w:r>
        <w:rPr>
          <w:rFonts w:ascii="Georgia" w:hAnsi="Georgia" w:eastAsia="Georgia"/>
          <w:b/>
          <w:i w:val="0"/>
          <w:sz w:val="24"/>
        </w:rPr>
        <w:t>References</w:t>
      </w:r>
    </w:p>
    <w:p>
      <w:pPr>
        <w:spacing w:line="480" w:lineRule="auto" w:before="0" w:after="0"/>
        <w:ind w:left="720" w:hanging="720"/>
        <w:jc w:val="left"/>
      </w:pPr>
      <w:r>
        <w:rPr>
          <w:rFonts w:ascii="Georgia" w:hAnsi="Georgia" w:eastAsia="Georgia"/>
          <w:b w:val="0"/>
          <w:i w:val="0"/>
          <w:sz w:val="22"/>
        </w:rPr>
        <w:t>Anggraini, &amp; Afriana. (2023). [Operational definitions of directive subtypes command, order, request, and suggestion, as applied in the thesis framework from Yule (1996)].</w:t>
      </w:r>
    </w:p>
    <w:p>
      <w:pPr>
        <w:spacing w:line="480" w:lineRule="auto" w:before="0" w:after="0"/>
        <w:ind w:left="720" w:hanging="720"/>
        <w:jc w:val="left"/>
      </w:pPr>
      <w:r>
        <w:rPr>
          <w:rFonts w:ascii="Georgia" w:hAnsi="Georgia" w:eastAsia="Georgia"/>
          <w:b w:val="0"/>
          <w:i w:val="0"/>
          <w:sz w:val="22"/>
        </w:rPr>
        <w:t>De Castro, G. L., &amp; Martinez, S. P. (2025). Rhetorical appeals across selected Philippine bank advertising on Facebook. Southern Semiotic Review, (22). https://doi.org/10.33234/SSR.22.13</w:t>
      </w:r>
    </w:p>
    <w:p>
      <w:pPr>
        <w:spacing w:line="480" w:lineRule="auto" w:before="0" w:after="0"/>
        <w:ind w:left="720" w:hanging="720"/>
        <w:jc w:val="left"/>
      </w:pPr>
      <w:r>
        <w:rPr>
          <w:rFonts w:ascii="Georgia" w:hAnsi="Georgia" w:eastAsia="Georgia"/>
          <w:b w:val="0"/>
          <w:i w:val="0"/>
          <w:sz w:val="22"/>
        </w:rPr>
        <w:t>Dwiyanti, W. G. (2024). Persuasive techniques in makeup and skincare video advertisements. JLT Jurnal Linguistik Terapan, 14(1), 27–37. https://jurnal.polinema.ac.id/index.php/jlt/article/view/4558</w:t>
      </w:r>
    </w:p>
    <w:p>
      <w:pPr>
        <w:spacing w:line="480" w:lineRule="auto" w:before="0" w:after="0"/>
        <w:ind w:left="720" w:hanging="720"/>
        <w:jc w:val="left"/>
      </w:pPr>
      <w:r>
        <w:rPr>
          <w:rFonts w:ascii="Georgia" w:hAnsi="Georgia" w:eastAsia="Georgia"/>
          <w:b w:val="0"/>
          <w:i w:val="0"/>
          <w:sz w:val="22"/>
        </w:rPr>
        <w:t>Nasir, M., Akhtar, N., Jamil, M., &amp; Mazhar, M. (2025). Linguistic strategies through modes of persuasion: A textual analysis of Pakistani social media advertisements. Journal of Applied Linguistics and TESOL (JALT), 8(4), 937–951. https://doi.org/10.63878/jalt1428</w:t>
      </w:r>
    </w:p>
    <w:p>
      <w:pPr>
        <w:spacing w:line="480" w:lineRule="auto" w:before="0" w:after="0"/>
        <w:ind w:left="720" w:hanging="720"/>
        <w:jc w:val="left"/>
      </w:pPr>
      <w:r>
        <w:rPr>
          <w:rFonts w:ascii="Georgia" w:hAnsi="Georgia" w:eastAsia="Georgia"/>
          <w:b w:val="0"/>
          <w:i w:val="0"/>
          <w:sz w:val="22"/>
        </w:rPr>
        <w:t>Pennock-Speck, B., &amp; Fuster-Márquez, M. (2014). Imperatives in voice-overs in British TV commercials: “Get this, buy that, taste the other.” Discourse &amp; Communication, 8(4), 411–426. https://doi.org/10.1177/1750481314537578</w:t>
      </w:r>
    </w:p>
    <w:p>
      <w:pPr>
        <w:spacing w:line="480" w:lineRule="auto" w:before="0" w:after="0"/>
        <w:ind w:left="720" w:hanging="720"/>
        <w:jc w:val="left"/>
      </w:pPr>
      <w:r>
        <w:rPr>
          <w:rFonts w:ascii="Georgia" w:hAnsi="Georgia" w:eastAsia="Georgia"/>
          <w:b w:val="0"/>
          <w:i w:val="0"/>
          <w:sz w:val="22"/>
        </w:rPr>
        <w:t>Rapp, C. (2022). Aristotle’s rhetoric. In E. N. Zalta (Ed.), The Stanford Encyclopedia of Philosophy (Spring 2022 ed.). Stanford University. https://plato.stanford.edu/entries/aristotle-rhetoric/</w:t>
      </w:r>
    </w:p>
    <w:p>
      <w:pPr>
        <w:spacing w:line="480" w:lineRule="auto" w:before="0" w:after="0"/>
        <w:ind w:left="720" w:hanging="720"/>
        <w:jc w:val="left"/>
      </w:pPr>
      <w:r>
        <w:rPr>
          <w:rFonts w:ascii="Georgia" w:hAnsi="Georgia" w:eastAsia="Georgia"/>
          <w:b w:val="0"/>
          <w:i w:val="0"/>
          <w:sz w:val="22"/>
        </w:rPr>
        <w:t>Saad, I. T., &amp; Ismael, A. A. (2025). The art of selling beauty: Analyzing persuasive strategies and speech acts in social media cosmetics advertising. Tasnim International Journal for Human, Social and Legal Sciences, 14. https://doi.org/10.56924/tasnim.14.2025/23</w:t>
      </w:r>
    </w:p>
    <w:p>
      <w:pPr>
        <w:spacing w:line="480" w:lineRule="auto" w:before="0" w:after="0"/>
        <w:ind w:left="720" w:hanging="720"/>
        <w:jc w:val="left"/>
      </w:pPr>
      <w:r>
        <w:rPr>
          <w:rFonts w:ascii="Georgia" w:hAnsi="Georgia" w:eastAsia="Georgia"/>
          <w:b w:val="0"/>
          <w:i w:val="0"/>
          <w:sz w:val="22"/>
        </w:rPr>
        <w:t>Searle, J. R. (1975). Indirect speech acts. In P. Cole &amp; J. L. Morgan (Eds.), Syntax and semantics: Vol. 3. Speech acts (pp. 59–82). Academic Press.</w:t>
      </w:r>
    </w:p>
    <w:p>
      <w:pPr>
        <w:spacing w:line="480" w:lineRule="auto" w:before="0" w:after="0"/>
        <w:ind w:left="720" w:hanging="720"/>
        <w:jc w:val="left"/>
      </w:pPr>
      <w:r>
        <w:rPr>
          <w:rFonts w:ascii="Georgia" w:hAnsi="Georgia" w:eastAsia="Georgia"/>
          <w:b w:val="0"/>
          <w:i w:val="0"/>
          <w:sz w:val="22"/>
        </w:rPr>
        <w:t>Searle, J. R. (1976). A classification of illocutionary acts. Language in Society, 5(1), 1–23. https://doi.org/10.1017/S0047404500006837</w:t>
      </w:r>
    </w:p>
    <w:p>
      <w:pPr>
        <w:spacing w:line="480" w:lineRule="auto" w:before="0" w:after="0"/>
        <w:ind w:left="720" w:hanging="720"/>
        <w:jc w:val="left"/>
      </w:pPr>
      <w:r>
        <w:rPr>
          <w:rFonts w:ascii="Georgia" w:hAnsi="Georgia" w:eastAsia="Georgia"/>
          <w:b w:val="0"/>
          <w:i w:val="0"/>
          <w:sz w:val="22"/>
        </w:rPr>
        <w:t>Talaue, G. M. (2022). Aristotle’s rhetorical triangle as applied to advertisements: Its impact to Saudi Arabian college student consumers. International Journal of Applied Management Theory and Research, 4(1), 1–18. https://doi.org/10.4018/IJAMTR.300280</w:t>
      </w:r>
    </w:p>
    <w:p>
      <w:pPr>
        <w:spacing w:line="480" w:lineRule="auto" w:before="0" w:after="0"/>
        <w:ind w:left="720" w:hanging="720"/>
        <w:jc w:val="left"/>
      </w:pPr>
      <w:r>
        <w:rPr>
          <w:rFonts w:ascii="Georgia" w:hAnsi="Georgia" w:eastAsia="Georgia"/>
          <w:b w:val="0"/>
          <w:i w:val="0"/>
          <w:sz w:val="22"/>
        </w:rPr>
        <w:t>Yule, G. (1996). Pragmatics. Oxford University Press.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