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cs="Georgia" w:eastAsia="Georgia"/>
          <w:sz w:val="24"/>
          <w:szCs w:val="24"/>
        </w:rPr>
        <w:t xml:space="preserve">October 2026</w:t>
      </w:r>
    </w:p>
    <w:p w:rsidR="00000000" w:rsidDel="00000000" w:rsidP="00000000" w:rsidRDefault="00000000" w:rsidRPr="00000000" w14:paraId="00000027">
      <w:pPr>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Those expert norms are well documented in that literature.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Suratno &amp; Aydawati, 2025).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 Philosophy and Psychology hedged more than Physics and History, 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 different genre, same point that hedging is context-sensitive.</w:t>
      </w:r>
      <w:r>
        <w:rPr>
          <w:rtl w:val="0"/>
        </w:rPr>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and Afshar et al., 2014). Developing researchers across contexts show limited hedge variety and tend to default to modal verbs (Khunasathitchai et al., 2025, and Wang, 2022). L2 writers face additional constraints from linguistic factors and limited explicit instruction (Demir, 2018, and Petchkij, 2019). Philippine and ASEAN studies confirm reliance on modals and, in some contexts, a preference for boosters (Ningrum et al., 2024, and Escalona, 2025, and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b w:val="0"/>
          <w:bCs w:val="0"/>
          <w:i w:val="0"/>
          <w:iCs w:val="0"/>
          <w:sz w:val="22"/>
          <w:szCs w:val="22"/>
          <w:rtl w:val="0"/>
        </w:rPr>
        <w:t>In practice, the coding scheme was adapted from Hyland (1998) and operationalized through the decision rules presented in Appendix A. Coding proceeded in a fixed order. First, each abstract was read holistically before any marking, so decisions were grounded in discourse context rather than keyword recognition. Second, Stage 1 retention decided whether a candidate device counted as a hedge: the device was kept if removing it made a knowledge claim more categorical or more direct, or softened how that claim was put forward. Deontic recommendations, capability, pure procedure, pure move sequencing, and topic-naming without force reduction were excluded. Retained tokens were also marked for grammatical type (modal verb, lexical hedge, adverbial hedge, or clause-level hedge) using the Appendix A decision rules. Third, Stage 2 assigned function labels to retained tokens: Epistemic Caution, Politeness/Deference, and/or Discourse Organization. Type and function were recorded separately so type-function pairings could be inspected. In this corpus all retained hedges were coded Epistemic Caution at Stage 2, so the cross-tab does not differentiate functions. RQ3 reports the functional profile of the Stage 1 retained set in this sample. No P candidates occurred. Sequence-only DO was excluded. RQ4 is answered from frequency and functional patterns as a whole.</w:t>
      </w:r>
      <w:r>
        <w:rPr>
          <w:rtl w:val="0"/>
        </w:rPr>
      </w:r>
    </w:p>
    <w:p>
      <w:pPr>
        <w:spacing w:before="0" w:after="0" w:line="480" w:lineRule="auto"/>
        <w:ind w:firstLine="720"/>
        <w:jc w:val="both"/>
        <w:rPr/>
      </w:pPr>
      <w:r>
        <w:rPr>
          <w:rFonts w:ascii="Georgia" w:hAnsi="Georgia" w:cs="Georgia" w:eastAsia="Georgia"/>
          <w:sz w:val="22"/>
          <w:szCs w:val="22"/>
        </w:rPr>
        <w:t xml:space="preserve">Functional labels in this study (Epistemic Caution, Politeness/Deference, and Discourse Organization) are assigned after a token is retained at Stage 1. They are not mutually exclusive: interpersonal or discourse effects can co-occur with epistemic stance. Stage 1 retention asks whether removing the expression makes a knowledge claim about findings more categorical or more direct, or reduces imposition in how that claim is put forward. That gate admits epistemic, politeness, and discourse-managing mitigation of claims; it excludes deontic recommendations and pure move sequencing. Stage 2 labels the retained item EC, P, and/or DO by dominant function. The Working Test (does removing the device change commitment to the truth of the proposition?) is used as an EC diagnostic at Stage 2, not as the sole entry ticket for all hedges. Expressions that only sequence moves (e.g., pure Therefore / Hence as connectives), name a research object, or mark capability or obligation remain excluded. This keeps the scheme inclusive of P and DO without treating every soft-sounding word as a hedge. Crompton (1997) still informs the EC diagnostic: a proposition restatable with greater author commitment signals reduced epistemic weight content.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at Stage 2, not as the sole Stage 1 retention rule.</w:t>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grouping variable is discipline, which includes Agriculture, Veterinary Medicine, and Biology as disciplinary categories.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rtl w:val="0"/>
          <w:b/>
          <w:bCs/>
        </w:rPr>
        <w:t xml:space="preserve">For writing instructors and thesis advisers at PSAU, </w:t>
      </w:r>
      <w:r>
        <w:rPr>
          <w:rFonts w:ascii="Georgia" w:hAnsi="Georgia" w:cs="Georgia" w:eastAsia="Georgia"/>
          <w:sz w:val="22"/>
          <w:rtl w:val="0"/>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rtl w:val="0"/>
          <w:b/>
          <w:bCs/>
        </w:rPr>
        <w:t xml:space="preserve">For academic writing researchers, </w:t>
      </w:r>
      <w:r>
        <w:rPr>
          <w:rFonts w:ascii="Georgia" w:hAnsi="Georgia" w:cs="Georgia" w:eastAsia="Georgia"/>
          <w:sz w:val="22"/>
          <w:rtl w:val="0"/>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rtl w:val="0"/>
          <w:b/>
          <w:bCs/>
        </w:rPr>
        <w:t xml:space="preserve">For the BAELS program, </w:t>
      </w:r>
      <w:r>
        <w:rPr>
          <w:rFonts w:ascii="Georgia" w:hAnsi="Georgia" w:cs="Georgia" w:eastAsia="Georgia"/>
          <w:sz w:val="22"/>
          <w:rtl w:val="0"/>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rtl w:val="0"/>
          <w:b/>
          <w:bCs/>
        </w:rPr>
        <w:t xml:space="preserve">For future researchers, </w:t>
      </w:r>
      <w:r>
        <w:rPr>
          <w:rFonts w:ascii="Georgia" w:hAnsi="Georgia" w:cs="Georgia" w:eastAsia="Georgia"/>
          <w:sz w:val="22"/>
          <w:rtl w:val="0"/>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rtl w:val="0"/>
        </w:rPr>
        <w:t xml:space="preserve">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Stage 1–2 scheme to longer genres where P and DO may appear more often.</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rtl w:val="0"/>
        </w:rPr>
        <w:t xml:space="preserve">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and framing-DO items did not appear. Expert abstracts in the same three disciplines, coded with the same Stage 1–2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Abstract, </w:t>
      </w:r>
      <w:r>
        <w:rPr>
          <w:rFonts w:ascii="Georgia" w:hAnsi="Georgia" w:cs="Georgia" w:eastAsia="Georgia"/>
          <w:i w:val="0"/>
          <w:iCs w:val="0"/>
          <w:sz w:val="22"/>
          <w:szCs w:val="22"/>
          <w:rtl w:val="0"/>
          <w:b w:val="0"/>
          <w:bCs w:val="0"/>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i w:val="0"/>
          <w:iCs w:val="0"/>
          <w:sz w:val="22"/>
          <w:szCs w:val="22"/>
          <w:rtl w:val="0"/>
          <w:b/>
          <w:bCs/>
        </w:rPr>
        <w:t xml:space="preserve">Adverbial Hedges, </w:t>
      </w:r>
      <w:r>
        <w:rPr>
          <w:rFonts w:ascii="Georgia" w:hAnsi="Georgia" w:cs="Georgia" w:eastAsia="Georgia"/>
          <w:i w:val="0"/>
          <w:iCs w:val="0"/>
          <w:sz w:val="22"/>
          <w:szCs w:val="22"/>
          <w:rtl w:val="0"/>
          <w:b w:val="0"/>
          <w:bCs w:val="0"/>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i w:val="0"/>
          <w:iCs w:val="0"/>
          <w:sz w:val="22"/>
          <w:szCs w:val="22"/>
          <w:rtl w:val="0"/>
          <w:b/>
          <w:bCs/>
        </w:rPr>
        <w:t xml:space="preserve">Applied Life Sciences, </w:t>
      </w:r>
      <w:r>
        <w:rPr>
          <w:rFonts w:ascii="Georgia" w:hAnsi="Georgia" w:cs="Georgia" w:eastAsia="Georgia"/>
          <w:i w:val="0"/>
          <w:iCs w:val="0"/>
          <w:sz w:val="22"/>
          <w:szCs w:val="22"/>
          <w:rtl w:val="0"/>
          <w:b w:val="0"/>
          <w:bCs w:val="0"/>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i w:val="0"/>
          <w:iCs w:val="0"/>
          <w:sz w:val="22"/>
          <w:szCs w:val="22"/>
          <w:rtl w:val="0"/>
          <w:b/>
          <w:bCs/>
        </w:rPr>
        <w:t xml:space="preserve">Claim Responsibility, </w:t>
      </w:r>
      <w:r>
        <w:rPr>
          <w:rFonts w:ascii="Georgia" w:hAnsi="Georgia" w:cs="Georgia" w:eastAsia="Georgia"/>
          <w:i w:val="0"/>
          <w:iCs w:val="0"/>
          <w:sz w:val="22"/>
          <w:szCs w:val="22"/>
          <w:rtl w:val="0"/>
          <w:b w:val="0"/>
          <w:bCs w:val="0"/>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Chi-Square Test of Independence, </w:t>
      </w:r>
      <w:r>
        <w:rPr>
          <w:rFonts w:ascii="Georgia" w:hAnsi="Georgia" w:cs="Georgia" w:eastAsia="Georgia"/>
          <w:i w:val="0"/>
          <w:iCs w:val="0"/>
          <w:sz w:val="22"/>
          <w:szCs w:val="22"/>
          <w:rtl w:val="0"/>
          <w:b w:val="0"/>
          <w:bCs w:val="0"/>
        </w:rPr>
        <w:t>conceptually, a chi-square test of independence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r>
        <w:rPr>
          <w:rtl w:val="0"/>
        </w:rPr>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i w:val="0"/>
          <w:iCs w:val="0"/>
          <w:sz w:val="22"/>
          <w:szCs w:val="22"/>
          <w:rtl w:val="0"/>
          <w:b/>
          <w:bCs/>
        </w:rPr>
        <w:t xml:space="preserve">Clause-Level Hedges, </w:t>
      </w:r>
      <w:r>
        <w:rPr>
          <w:rFonts w:ascii="Georgia" w:hAnsi="Georgia" w:cs="Georgia" w:eastAsia="Georgia"/>
          <w:i w:val="0"/>
          <w:iCs w:val="0"/>
          <w:sz w:val="22"/>
          <w:szCs w:val="22"/>
          <w:rtl w:val="0"/>
          <w:b w:val="0"/>
          <w:bCs w:val="0"/>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Cohen’s Kappa (κ), </w:t>
      </w:r>
      <w:r>
        <w:rPr>
          <w:rFonts w:ascii="Georgia" w:hAnsi="Georgia" w:cs="Georgia" w:eastAsia="Georgia"/>
          <w:i w:val="0"/>
          <w:iCs w:val="0"/>
          <w:sz w:val="22"/>
          <w:szCs w:val="22"/>
          <w:rtl w:val="0"/>
          <w:b w:val="0"/>
          <w:bCs w:val="0"/>
        </w:rPr>
        <w:t>conceptually, Cohen’s kappa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r>
        <w:rPr>
          <w:rtl w:val="0"/>
        </w:rPr>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i w:val="0"/>
          <w:iCs w:val="0"/>
          <w:sz w:val="22"/>
          <w:szCs w:val="22"/>
          <w:rtl w:val="0"/>
          <w:b/>
          <w:bCs/>
        </w:rPr>
        <w:t xml:space="preserve">Corpus-Assisted Discourse Analysis, </w:t>
      </w:r>
      <w:r>
        <w:rPr>
          <w:rFonts w:ascii="Georgia" w:hAnsi="Georgia" w:cs="Georgia" w:eastAsia="Georgia"/>
          <w:i w:val="0"/>
          <w:iCs w:val="0"/>
          <w:sz w:val="22"/>
          <w:szCs w:val="22"/>
          <w:rtl w:val="0"/>
          <w:b w:val="0"/>
          <w:bCs w:val="0"/>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i w:val="0"/>
          <w:iCs w:val="0"/>
          <w:sz w:val="22"/>
          <w:szCs w:val="22"/>
          <w:rtl w:val="0"/>
          <w:b/>
          <w:bCs/>
        </w:rPr>
        <w:t xml:space="preserve">Disciplinary Variation, </w:t>
      </w:r>
      <w:r>
        <w:rPr>
          <w:rFonts w:ascii="Georgia" w:hAnsi="Georgia" w:cs="Georgia" w:eastAsia="Georgia"/>
          <w:i w:val="0"/>
          <w:iCs w:val="0"/>
          <w:sz w:val="22"/>
          <w:szCs w:val="22"/>
          <w:rtl w:val="0"/>
          <w:b w:val="0"/>
          <w:bCs w:val="0"/>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i w:val="0"/>
          <w:iCs w:val="0"/>
          <w:sz w:val="22"/>
          <w:szCs w:val="22"/>
          <w:rtl w:val="0"/>
          <w:b/>
          <w:bCs/>
        </w:rPr>
        <w:t xml:space="preserve">Epistemic Stance, </w:t>
      </w:r>
      <w:r>
        <w:rPr>
          <w:rFonts w:ascii="Georgia" w:hAnsi="Georgia" w:cs="Georgia" w:eastAsia="Georgia"/>
          <w:i w:val="0"/>
          <w:iCs w:val="0"/>
          <w:sz w:val="22"/>
          <w:szCs w:val="22"/>
          <w:rtl w:val="0"/>
          <w:b w:val="0"/>
          <w:bCs w:val="0"/>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Epistemic Weight, </w:t>
      </w:r>
      <w:r>
        <w:rPr>
          <w:rFonts w:ascii="Georgia" w:hAnsi="Georgia" w:cs="Georgia" w:eastAsia="Georgia"/>
          <w:i w:val="0"/>
          <w:iCs w:val="0"/>
          <w:sz w:val="22"/>
          <w:szCs w:val="22"/>
          <w:rtl w:val="0"/>
          <w:b w:val="0"/>
          <w:bCs w:val="0"/>
        </w:rPr>
        <w:t>conceptually, epistemic weight is the strength of the writer’s commitment to the truth of a proposition (how certain or tentative the claim is). Operationally, a change in epistemic weight supports an EC function label at Stage 2; Stage 1 retention uses the broader force / directness test on knowledge claims (imposition only as interpersonal softening of a claim, not as a directive).</w:t>
      </w:r>
      <w:r>
        <w:rPr>
          <w:rtl w:val="0"/>
        </w:rPr>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i w:val="0"/>
          <w:iCs w:val="0"/>
          <w:sz w:val="22"/>
          <w:szCs w:val="22"/>
          <w:rtl w:val="0"/>
          <w:b/>
          <w:bCs/>
        </w:rPr>
        <w:t xml:space="preserve">Hedge Function, </w:t>
      </w:r>
      <w:r>
        <w:rPr>
          <w:rFonts w:ascii="Georgia" w:hAnsi="Georgia" w:cs="Georgia" w:eastAsia="Georgia"/>
          <w:i w:val="0"/>
          <w:iCs w:val="0"/>
          <w:sz w:val="22"/>
          <w:szCs w:val="22"/>
          <w:rtl w:val="0"/>
          <w:b w:val="0"/>
          <w:bCs w:val="0"/>
        </w:rPr>
        <w:t>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i w:val="0"/>
          <w:iCs w:val="0"/>
          <w:sz w:val="22"/>
          <w:szCs w:val="22"/>
          <w:rtl w:val="0"/>
          <w:b/>
          <w:bCs/>
        </w:rPr>
        <w:t xml:space="preserve">Hedging, </w:t>
      </w:r>
      <w:r>
        <w:rPr>
          <w:rFonts w:ascii="Georgia" w:hAnsi="Georgia" w:cs="Georgia" w:eastAsia="Georgia"/>
          <w:i w:val="0"/>
          <w:iCs w:val="0"/>
          <w:sz w:val="22"/>
          <w:szCs w:val="22"/>
          <w:rtl w:val="0"/>
          <w:b w:val="0"/>
          <w:bCs w:val="0"/>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szCs w:val="22"/>
          <w:b/>
          <w:bCs/>
        </w:rPr>
        <w:t xml:space="preserve">Kruskal-Wallis Test, </w:t>
      </w:r>
      <w:r>
        <w:rPr>
          <w:rFonts w:ascii="Georgia" w:hAnsi="Georgia" w:cs="Georgia" w:eastAsia="Georgia"/>
          <w:sz w:val="22"/>
          <w:szCs w:val="22"/>
        </w:rPr>
        <w:t xml:space="preserve">conceptually, the Kruskal-Wallis test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i w:val="0"/>
          <w:iCs w:val="0"/>
          <w:sz w:val="22"/>
          <w:szCs w:val="22"/>
          <w:rtl w:val="0"/>
          <w:b/>
          <w:bCs/>
        </w:rPr>
        <w:t xml:space="preserve">Lexical Hedges, </w:t>
      </w:r>
      <w:r>
        <w:rPr>
          <w:rFonts w:ascii="Georgia" w:hAnsi="Georgia" w:cs="Georgia" w:eastAsia="Georgia"/>
          <w:i w:val="0"/>
          <w:iCs w:val="0"/>
          <w:sz w:val="22"/>
          <w:szCs w:val="22"/>
          <w:rtl w:val="0"/>
          <w:b w:val="0"/>
          <w:bCs w:val="0"/>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pPr>
        <w:spacing w:before="0" w:after="0" w:line="480" w:lineRule="auto"/>
        <w:ind w:firstLine="720"/>
        <w:jc w:val="both"/>
        <w:rPr/>
      </w:pPr>
      <w:r>
        <w:rPr>
          <w:rFonts w:ascii="Georgia" w:hAnsi="Georgia" w:cs="Georgia" w:eastAsia="Georgia"/>
          <w:sz w:val="22"/>
          <w:szCs w:val="22"/>
          <w:b/>
          <w:bCs/>
        </w:rPr>
        <w:t xml:space="preserve">Mann-Whitney U Test, </w:t>
      </w:r>
      <w:r>
        <w:rPr>
          <w:rFonts w:ascii="Georgia" w:hAnsi="Georgia" w:cs="Georgia" w:eastAsia="Georgia"/>
          <w:sz w:val="22"/>
          <w:szCs w:val="22"/>
        </w:rPr>
        <w:t xml:space="preserve">conceptually, the Mann-Whitney U test (also called the Wilcoxon rank-sum test)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i w:val="0"/>
          <w:iCs w:val="0"/>
          <w:sz w:val="22"/>
          <w:szCs w:val="22"/>
          <w:rtl w:val="0"/>
          <w:b/>
          <w:bCs/>
        </w:rPr>
        <w:t xml:space="preserve">Modal Verbs, </w:t>
      </w:r>
      <w:r>
        <w:rPr>
          <w:rFonts w:ascii="Georgia" w:hAnsi="Georgia" w:cs="Georgia" w:eastAsia="Georgia"/>
          <w:i w:val="0"/>
          <w:iCs w:val="0"/>
          <w:sz w:val="22"/>
          <w:szCs w:val="22"/>
          <w:rtl w:val="0"/>
          <w:b w:val="0"/>
          <w:bCs w:val="0"/>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i w:val="0"/>
          <w:iCs w:val="0"/>
          <w:sz w:val="22"/>
          <w:szCs w:val="22"/>
          <w:rtl w:val="0"/>
          <w:b/>
          <w:bCs/>
        </w:rPr>
        <w:t xml:space="preserve">Normalized Frequency, </w:t>
      </w:r>
      <w:r>
        <w:rPr>
          <w:rFonts w:ascii="Georgia" w:hAnsi="Georgia" w:cs="Georgia" w:eastAsia="Georgia"/>
          <w:i w:val="0"/>
          <w:iCs w:val="0"/>
          <w:sz w:val="22"/>
          <w:szCs w:val="22"/>
          <w:rtl w:val="0"/>
          <w:b w:val="0"/>
          <w:bCs w:val="0"/>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pPr>
        <w:spacing w:before="0" w:after="0" w:line="480" w:lineRule="auto"/>
        <w:ind w:firstLine="720"/>
        <w:jc w:val="both"/>
        <w:rPr/>
      </w:pPr>
      <w:r>
        <w:rPr>
          <w:rFonts w:ascii="Georgia" w:hAnsi="Georgia" w:cs="Georgia" w:eastAsia="Georgia"/>
          <w:i w:val="0"/>
          <w:iCs w:val="0"/>
          <w:sz w:val="22"/>
          <w:szCs w:val="22"/>
          <w:rtl w:val="0"/>
          <w:b/>
          <w:bCs/>
        </w:rPr>
        <w:t xml:space="preserve">Operational Restatement (Threshold Restatement), </w:t>
      </w:r>
      <w:r>
        <w:rPr>
          <w:rFonts w:ascii="Georgia" w:hAnsi="Georgia" w:cs="Georgia" w:eastAsia="Georgia"/>
          <w:i w:val="0"/>
          <w:iCs w:val="0"/>
          <w:sz w:val="22"/>
          <w:szCs w:val="22"/>
          <w:rtl w:val="0"/>
          <w:b w:val="0"/>
          <w:bCs w:val="0"/>
        </w:rPr>
        <w:t xml:space="preserve">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Rescue-Hedging (Rescue Framing), </w:t>
      </w:r>
      <w:r>
        <w:rPr>
          <w:rFonts w:ascii="Georgia" w:hAnsi="Georgia" w:cs="Georgia" w:eastAsia="Georgia"/>
          <w:i w:val="0"/>
          <w:iCs w:val="0"/>
          <w:sz w:val="22"/>
          <w:szCs w:val="22"/>
          <w:rtl w:val="0"/>
          <w:b w:val="0"/>
          <w:bCs w:val="0"/>
        </w:rPr>
        <w:t>conceptually, the use of hedges after an explicit non-significant result so that a treatment or finding is still presented as potentially beneficial. Operationally, the term is used in this study as a descriptive label for that pattern.</w:t>
      </w:r>
      <w:r>
        <w:rPr>
          <w:rtl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i w:val="0"/>
          <w:iCs w:val="0"/>
          <w:sz w:val="22"/>
          <w:szCs w:val="22"/>
          <w:rtl w:val="0"/>
          <w:b/>
          <w:bCs/>
        </w:rPr>
        <w:t xml:space="preserve">Softening, </w:t>
      </w:r>
      <w:r>
        <w:rPr>
          <w:rFonts w:ascii="Georgia" w:hAnsi="Georgia" w:cs="Georgia" w:eastAsia="Georgia"/>
          <w:i w:val="0"/>
          <w:iCs w:val="0"/>
          <w:sz w:val="22"/>
          <w:szCs w:val="22"/>
          <w:rtl w:val="0"/>
          <w:b w:val="0"/>
          <w:bCs w:val="0"/>
        </w:rPr>
        <w:t>conceptually, softening is the reduction of force, directness, imposition, or interpersonal impact in a statement. Operationally, Stage 1 retention tracks softening of force or directness on knowledge claims (and interpersonal imposition on how claims are put forward); Stage 2 sorts epistemic (EC), interpersonal (P), and discourse-managing (DO) uses. Directives remain excluded.</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i w:val="0"/>
          <w:iCs w:val="0"/>
          <w:sz w:val="22"/>
          <w:szCs w:val="22"/>
          <w:rtl w:val="0"/>
          <w:b/>
          <w:bCs/>
        </w:rPr>
        <w:t xml:space="preserve">a. Requesting Permission. </w:t>
      </w:r>
      <w:r>
        <w:rPr>
          <w:rFonts w:ascii="Georgia" w:hAnsi="Georgia" w:cs="Georgia" w:eastAsia="Georgia"/>
          <w:i w:val="0"/>
          <w:iCs w:val="0"/>
          <w:sz w:val="22"/>
          <w:szCs w:val="22"/>
          <w:rtl w:val="0"/>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i w:val="0"/>
          <w:iCs w:val="0"/>
          <w:sz w:val="22"/>
          <w:szCs w:val="22"/>
          <w:rtl w:val="0"/>
          <w:b/>
          <w:bCs/>
        </w:rPr>
        <w:t xml:space="preserve">b. Corpus Construction. </w:t>
      </w:r>
      <w:r>
        <w:rPr>
          <w:rFonts w:ascii="Georgia" w:hAnsi="Georgia" w:cs="Georgia" w:eastAsia="Georgia"/>
          <w:i w:val="0"/>
          <w:iCs w:val="0"/>
          <w:sz w:val="22"/>
          <w:szCs w:val="22"/>
          <w:rtl w:val="0"/>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i w:val="0"/>
          <w:iCs w:val="0"/>
          <w:sz w:val="22"/>
          <w:szCs w:val="22"/>
          <w:rtl w:val="0"/>
          <w:b/>
          <w:bCs/>
        </w:rPr>
        <w:t xml:space="preserve">c. Text Extraction. </w:t>
      </w:r>
      <w:r>
        <w:rPr>
          <w:rFonts w:ascii="Georgia" w:hAnsi="Georgia" w:cs="Georgia" w:eastAsia="Georgia"/>
          <w:i w:val="0"/>
          <w:iCs w:val="0"/>
          <w:sz w:val="22"/>
          <w:szCs w:val="22"/>
          <w:rtl w:val="0"/>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i w:val="0"/>
          <w:iCs w:val="0"/>
          <w:sz w:val="22"/>
          <w:szCs w:val="22"/>
          <w:rtl w:val="0"/>
          <w:b/>
          <w:bCs/>
        </w:rPr>
        <w:t xml:space="preserve">d. Pilot Testing and Reliability Checking. </w:t>
      </w:r>
      <w:r>
        <w:rPr>
          <w:rFonts w:ascii="Georgia" w:hAnsi="Georgia" w:cs="Georgia" w:eastAsia="Georgia"/>
          <w:i w:val="0"/>
          <w:iCs w:val="0"/>
          <w:sz w:val="22"/>
          <w:szCs w:val="22"/>
          <w:rtl w:val="0"/>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szCs w:val="22"/>
          <w:b/>
          <w:bCs/>
        </w:rPr>
        <w:t xml:space="preserve">e. Data Analysis. </w:t>
      </w:r>
      <w:r>
        <w:rPr>
          <w:rFonts w:ascii="Georgia" w:hAnsi="Georgia" w:cs="Georgia" w:eastAsia="Georgia"/>
          <w:sz w:val="22"/>
          <w:szCs w:val="22"/>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i w:val="0"/>
          <w:iCs w:val="0"/>
          <w:sz w:val="22"/>
          <w:szCs w:val="22"/>
          <w:rtl w:val="0"/>
          <w:b/>
          <w:bCs/>
        </w:rPr>
        <w:t xml:space="preserve">f. Timeline. </w:t>
      </w:r>
      <w:r>
        <w:rPr>
          <w:rFonts w:ascii="Georgia" w:hAnsi="Georgia" w:cs="Georgia" w:eastAsia="Georgia"/>
          <w:i w:val="0"/>
          <w:iCs w:val="0"/>
          <w:sz w:val="22"/>
          <w:szCs w:val="22"/>
          <w:rtl w:val="0"/>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720" w:after="0" w:line="480" w:lineRule="auto"/>
        <w:jc w:val="center"/>
      </w:pPr>
      <w:r>
        <w:rPr>
          <w:rFonts w:ascii="Georgia" w:hAnsi="Georgia" w:cs="Georgia" w:eastAsia="Georgia"/>
          <w:b/>
          <w:sz w:val="24"/>
        </w:rPr>
        <w:t>Table 1</w:t>
      </w:r>
    </w:p>
    <w:p>
      <w:pPr>
        <w:keepNext w:val="1"/>
        <w:spacing w:before="0" w:after="60" w:line="480" w:lineRule="auto"/>
        <w:jc w:val="center"/>
      </w:pPr>
      <w:r>
        <w:rPr>
          <w:rFonts w:ascii="Georgia" w:hAnsi="Georgia" w:cs="Georgia" w:eastAsia="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tblHeader w:val="0"/>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tblHeader w:val="0"/>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tblHeader w:val="0"/>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tblHeader w:val="0"/>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szCs w:val="22"/>
          <w:b/>
          <w:bCs/>
        </w:rPr>
        <w:t xml:space="preserve">Inclusion Criteria. </w:t>
      </w:r>
      <w:r>
        <w:rPr>
          <w:rFonts w:ascii="Georgia" w:hAnsi="Georgia" w:cs="Georgia" w:eastAsia="Georgia"/>
          <w:sz w:val="22"/>
          <w:szCs w:val="22"/>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pPr>
      <w:r>
        <w:rPr>
          <w:rFonts w:ascii="Georgia" w:hAnsi="Georgia" w:cs="Georgia" w:eastAsia="Georgia"/>
          <w:sz w:val="22"/>
          <w:szCs w:val="22"/>
          <w:b/>
          <w:bCs/>
        </w:rPr>
        <w:t xml:space="preserve">Exclusion Criteria. </w:t>
      </w:r>
      <w:r>
        <w:rPr>
          <w:rFonts w:ascii="Georgia" w:hAnsi="Georgia" w:cs="Georgia" w:eastAsia="Georgia"/>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szCs w:val="22"/>
          <w:b/>
          <w:bCs/>
        </w:rPr>
        <w:t xml:space="preserve">Ethical Considerations. </w:t>
      </w:r>
      <w:r>
        <w:rPr>
          <w:rFonts w:ascii="Georgia" w:hAnsi="Georgia" w:cs="Georgia" w:eastAsia="Georgia"/>
          <w:sz w:val="22"/>
          <w:szCs w:val="22"/>
        </w:rPr>
        <w:t xml:space="preserve">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spacing w:before="720" w:after="0" w:line="480" w:lineRule="auto"/>
        <w:jc w:val="center"/>
      </w:pPr>
      <w:r>
        <w:rPr>
          <w:rFonts w:ascii="Georgia" w:hAnsi="Georgia" w:cs="Georgia" w:eastAsia="Georgia"/>
          <w:b/>
          <w:sz w:val="24"/>
        </w:rPr>
        <w:t>Table 2</w:t>
      </w:r>
    </w:p>
    <w:p>
      <w:pPr>
        <w:keepNext w:val="1"/>
        <w:spacing w:before="0" w:after="60" w:line="480" w:lineRule="auto"/>
        <w:jc w:val="center"/>
      </w:pPr>
      <w:r>
        <w:rPr>
          <w:rFonts w:ascii="Georgia" w:hAnsi="Georgia" w:cs="Georgia" w:eastAsia="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tblHeader w:val="0"/>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tblHeader w:val="0"/>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tblHeader w:val="0"/>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keepNext w:val="1"/>
        <w:spacing w:before="720" w:after="0" w:line="480" w:lineRule="auto"/>
        <w:jc w:val="center"/>
      </w:pPr>
      <w:r>
        <w:rPr>
          <w:rFonts w:ascii="Georgia" w:hAnsi="Georgia" w:cs="Georgia" w:eastAsia="Georgia"/>
          <w:b/>
          <w:sz w:val="24"/>
        </w:rPr>
        <w:t>Table 4</w:t>
      </w:r>
    </w:p>
    <w:p>
      <w:pPr>
        <w:keepNext w:val="1"/>
        <w:spacing w:before="0" w:after="60" w:line="480" w:lineRule="auto"/>
        <w:jc w:val="center"/>
      </w:pPr>
      <w:r>
        <w:rPr>
          <w:rFonts w:ascii="Georgia" w:hAnsi="Georgia" w:cs="Georgia" w:eastAsia="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tblHeader w:val="0"/>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tblHeader w:val="0"/>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tblHeader w:val="0"/>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tblHeader w:val="0"/>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under the codebook’s Stage 1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Stage 1 force reduction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Layer 3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4"/>
        </w:rPr>
        <w:t>Table 5</w:t>
      </w:r>
    </w:p>
    <w:p>
      <w:pPr>
        <w:keepNext w:val="1"/>
        <w:spacing w:before="0" w:after="60" w:line="480" w:lineRule="auto"/>
        <w:jc w:val="center"/>
      </w:pPr>
      <w:r>
        <w:rPr>
          <w:rFonts w:ascii="Georgia" w:hAnsi="Georgia" w:cs="Georgia" w:eastAsia="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tblHeader w:val="0"/>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65 tokens retained as hedges were coded Epistemic Caution (EC). None of those retained tokens were assigned Politeness/Deference (P) or Discourse Organization (DO). Discourse connectors such as Hence, Thus, Therefore, and In conclusion appear in the corpus and are tagged (DO) in Appendix C but are not counted as hedges when they do not change the epistemic weight of a claim. Table 6 presents the function distribution among retained hedges.</w:t>
      </w:r>
      <w:r>
        <w:rPr>
          <w:rFonts w:ascii="Georgia" w:cs="Georgia" w:eastAsia="Georgia" w:hAnsi="Georgia"/>
          <w:b w:val="0"/>
          <w:bCs w:val="0"/>
          <w:i w:val="0"/>
          <w:iCs w:val="0"/>
          <w:sz w:val="22"/>
          <w:szCs w:val="22"/>
          <w:rtl w:val="0"/>
          <w:color w:val="00B0F0"/>
        </w:rPr>
      </w:r>
      <w:r>
        <w:rPr>
          <w:rFonts w:ascii="Georgia" w:cs="Georgia" w:eastAsia="Georgia" w:hAnsi="Georgia"/>
          <w:b w:val="0"/>
          <w:bCs w:val="0"/>
          <w:i w:val="0"/>
          <w:iCs w:val="0"/>
          <w:sz w:val="22"/>
          <w:szCs w:val="22"/>
          <w:rtl w:val="0"/>
        </w:rPr>
      </w:r>
      <w:r>
        <w:rPr>
          <w:rtl w:val="0"/>
        </w:rPr>
      </w:r>
    </w:p>
    <w:p>
      <w:pPr>
        <w:keepNext w:val="1"/>
        <w:spacing w:before="720" w:after="0" w:line="480" w:lineRule="auto"/>
        <w:jc w:val="center"/>
      </w:pPr>
      <w:r>
        <w:rPr>
          <w:rFonts w:ascii="Georgia" w:hAnsi="Georgia" w:cs="Georgia" w:eastAsia="Georgia"/>
          <w:b/>
          <w:sz w:val="24"/>
        </w:rPr>
        <w:t>Table 6</w:t>
      </w:r>
    </w:p>
    <w:p>
      <w:pPr>
        <w:keepNext w:val="1"/>
        <w:spacing w:before="0" w:after="60" w:line="480" w:lineRule="auto"/>
        <w:jc w:val="center"/>
      </w:pPr>
      <w:r>
        <w:rPr>
          <w:rFonts w:ascii="Georgia" w:hAnsi="Georgia" w:cs="Georgia" w:eastAsia="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tblHeader w:val="0"/>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tblHeader w:val="0"/>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tblHeader w:val="0"/>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or Discourse Organization. Under Stage 1, P-only and framing-DO items could in principle be retained; in this corpus no P forms appeared, and DO items that only sequence moves stayed out. Discourse connectors such as Hence, Thus, Therefore, and In conclusion are logged in Appendix C but were not counted as hedges. The 100% EC result is therefore the functional profile of the retained set in this sample, not a claim that P or DO mitigation is impossible in student writing. Genre compression may also limit interactional mitigation in abstracts. That limitation is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Stage 2. In this sample no P candidates appeared, and sequence-only DO was excluded at Stage 1.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map frequency, function, and cross-disciplinary density. The contrasts below describe what was observed in this corpus. They are not presented as stable discipline-level characteristics. Inferential tests are exploratory, as stated in Scope and Limitations. As reported in Part II, the Kruskal-Wallis test on rates reached p = .024. Pairwise Mann-Whitney tests with Bonferroni correction leave only the Biology–Veterinary Medicine contrast significant. The chi-square on zero-hedge rates was p = .079. Generalization beyond this corpus is not warranted. The patterns are read through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4"/>
          <w:szCs w:val="24"/>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b w:val="0"/>
          <w:bCs w:val="0"/>
          <w:i w:val="0"/>
          <w:iCs w:val="0"/>
          <w:rtl w:val="0"/>
          <w:sz w:val="22"/>
          <w:szCs w:val="22"/>
        </w:rPr>
        <w:t xml:space="preserve">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subset—not as proof of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line="240" w:lineRule="auto" w:before="0" w:after="0"/>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Every retained hedge was coded as Epistemic Caution at Stage 2. No P candidates appeared in the corpus; sequence-only DO was not counted. The functional result describes this sample’s retained set under the Stage 1–2 procedure.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Limited evidence of disciplinary differentiation, mainly Veterinary Medicine’s lower density. Agriculture’s edge over Biology is modest and outlier-sensitive. Acs2 illustrates rescue-hedging after a non-significant result, which links to the introduction’s concern with overclaiming, but it is a single abstract. The Null/NS mean in Agriculture falls to the same level as non-Null Agriculture once Acs2 is removed. The data cannot separate field norms, adviser practice, and outcome type. Agriculture has no Binary outcomes here, so discipline and study design remain entangled. The Kruskal-Wallis test on rates was p = .024. Pairwise Mann-Whitney tests with Bonferroni correction leave Biology–Veterinary Medicine as the surviving contrast. Those tests are exploratory and the sample is small, as noted in Scope. The study provides a local baseline: in this corpus, Veterinary Medicine abstracts hedge less than Biology abstracts on the corrected pairwise test, a pattern not explained by binary outcome type alone. Causes (field norm, adviser practice, or other factors) cannot be identified from abstract text alone.</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whether the lower Veterinary Medicine density and patterns such as rescue-hedging after non-significant results persist across multiple institutions and groups. A multi-institutional comparison involving other Philippine state universities would help determine whether these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One hypothesis worth testing is whether program-level expectations in Veterinary Medicine discourage or rarely require hedging in abstracts. The present study does not provide evidence that VM advisers hold that stance. Adviser interviews would be needed to test it. Parallel work could also compare how often each discipline writes up non-significant findings and whether null write-ups invite different hedging choices, while recognizing that outcome type and discipline are entangled in this sample.</w:t>
      </w:r>
      <w:r>
        <w:rPr>
          <w:rtl w:val="0"/>
        </w:rPr>
      </w:r>
    </w:p>
    <w:p>
      <w:pPr>
        <w:spacing w:before="0" w:after="0" w:line="480" w:lineRule="auto"/>
        <w:ind w:firstLine="720"/>
        <w:jc w:val="both"/>
        <w:rPr/>
      </w:pPr>
      <w:r>
        <w:rPr>
          <w:rFonts w:ascii="Georgia" w:hAnsi="Georgia" w:cs="Georgia" w:eastAsia="Georgia"/>
          <w:sz w:val="22"/>
          <w:szCs w:val="22"/>
        </w:rPr>
        <w:t xml:space="preserve">This study’s Stage 1 gate admits force, directness, and imposition reduction so that P and DO are not excluded by definition. In this sample, retained tokens were still all EC at Stage 2. Future work could apply the same Stage 1–2 scheme to full thesis chapters or expert abstracts, where interpersonal and discourse-managing mitigation may appear more often than in compressed undergraduate abstracts.</w:t>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hAnsi="Georgia" w:cs="Georgia" w:eastAsia="Georgia"/>
          <w:b w:val="0"/>
          <w:bCs w:val="0"/>
          <w:i w:val="0"/>
          <w:iCs w:val="0"/>
          <w:sz w:val="22"/>
          <w:szCs w:val="22"/>
          <w:rtl w:val="0"/>
        </w:rPr>
        <w:t>The coding methodology developed in this study, including the codebook’s decision rules and the unhedged assertion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hAnsi="Georgia" w:cs="Georgia" w:eastAsia="Georgia"/>
          <w:b w:val="0"/>
          <w:sz w:val="22"/>
          <w:i w:val="0"/>
        </w:rPr>
        <w:t xml:space="preserve">Afshar, H. S., Moradi, M., &amp; Hamzavi, R. (2014). Frequency and type of hedging devices used in the research articles of humanities, basic sciences and agriculture. </w:t>
      </w:r>
      <w:r>
        <w:rPr>
          <w:rFonts w:ascii="Georgia" w:hAnsi="Georgia" w:cs="Georgia" w:eastAsia="Georgia"/>
          <w:b w:val="0"/>
          <w:sz w:val="22"/>
          <w:i/>
          <w:iCs/>
        </w:rPr>
        <w:t>Procedia – Social and Behavioral Sciences, 136</w:t>
      </w:r>
      <w:r>
        <w:rPr>
          <w:rFonts w:ascii="Georgia" w:hAnsi="Georgia" w:cs="Georgia" w:eastAsia="Georgia"/>
          <w:b w:val="0"/>
          <w:sz w:val="22"/>
          <w:i w:val="0"/>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cs="Georgia" w:eastAsia="Georgia"/>
          <w:b w:val="0"/>
          <w:sz w:val="22"/>
          <w:i w:val="0"/>
        </w:rPr>
        <w:t xml:space="preserve">Biber, D., Conrad, S., &amp; Reppen, R. (1998). </w:t>
      </w:r>
      <w:r>
        <w:rPr>
          <w:rFonts w:ascii="Georgia" w:hAnsi="Georgia" w:cs="Georgia" w:eastAsia="Georgia"/>
          <w:b w:val="0"/>
          <w:sz w:val="22"/>
          <w:i/>
          <w:iCs/>
        </w:rPr>
        <w:t>Corpus linguistics: Investigating language structure and use</w:t>
      </w:r>
      <w:r>
        <w:rPr>
          <w:rFonts w:ascii="Georgia" w:hAnsi="Georgia" w:cs="Georgia" w:eastAsia="Georgia"/>
          <w:b w:val="0"/>
          <w:sz w:val="22"/>
          <w:i w:val="0"/>
        </w:rPr>
        <w:t>. Cambridge University Press.</w:t>
      </w:r>
    </w:p>
    <w:p>
      <w:pPr>
        <w:spacing w:before="0" w:after="0" w:line="480" w:lineRule="auto"/>
        <w:ind w:left="720" w:hanging="720"/>
        <w:jc w:val="left"/>
        <w:rPr/>
      </w:pPr>
      <w:r>
        <w:rPr>
          <w:rFonts w:ascii="Georgia" w:hAnsi="Georgia" w:cs="Georgia" w:eastAsia="Georgia"/>
          <w:b w:val="0"/>
          <w:sz w:val="22"/>
        </w:rPr>
        <w:t xml:space="preserve">Crompton, P. (1997). Hedging in academic writing: Some theoretical problems. </w:t>
      </w:r>
      <w:r>
        <w:rPr>
          <w:rFonts w:ascii="Georgia" w:hAnsi="Georgia" w:cs="Georgia" w:eastAsia="Georgia"/>
          <w:b w:val="0"/>
          <w:sz w:val="22"/>
          <w:i/>
          <w:iCs/>
        </w:rPr>
        <w:t>English for Specific Purposes, 16</w:t>
      </w:r>
      <w:r>
        <w:rPr>
          <w:rFonts w:ascii="Georgia" w:hAnsi="Georgia" w:cs="Georgia" w:eastAsia="Georgia"/>
          <w:b w:val="0"/>
          <w:sz w:val="22"/>
        </w:rPr>
        <w:t>(4), 271–287. https://www.academia.edu/50160307/Hedging_in_academic_writing_Some_theoretical_problems</w:t>
      </w:r>
    </w:p>
    <w:p w:rsidR="00000000" w:rsidDel="00000000" w:rsidP="00000000" w:rsidRDefault="00000000" w:rsidRPr="00000000" w14:paraId="00000188">
      <w:pPr>
        <w:spacing w:before="0" w:after="0" w:line="480" w:lineRule="auto"/>
        <w:ind w:left="720" w:hanging="720"/>
        <w:jc w:val="left"/>
        <w:rPr/>
      </w:pPr>
      <w:r>
        <w:rPr>
          <w:rFonts w:ascii="Georgia" w:hAnsi="Georgia" w:cs="Georgia" w:eastAsia="Georgia"/>
          <w:b w:val="0"/>
          <w:sz w:val="22"/>
          <w:i w:val="0"/>
        </w:rPr>
        <w:t xml:space="preserve">Demir, C. (2018). Hedging and academic writing: An analysis of lexical hedges. </w:t>
      </w:r>
      <w:r>
        <w:rPr>
          <w:rFonts w:ascii="Georgia" w:hAnsi="Georgia" w:cs="Georgia" w:eastAsia="Georgia"/>
          <w:b w:val="0"/>
          <w:sz w:val="22"/>
          <w:i/>
          <w:iCs/>
        </w:rPr>
        <w:t>Journal of Language and Linguistic Studies, 14</w:t>
      </w:r>
      <w:r>
        <w:rPr>
          <w:rFonts w:ascii="Georgia" w:hAnsi="Georgia" w:cs="Georgia" w:eastAsia="Georgia"/>
          <w:b w:val="0"/>
          <w:sz w:val="22"/>
          <w:i w:val="0"/>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cs="Georgia" w:eastAsia="Georgia"/>
          <w:b w:val="0"/>
          <w:sz w:val="22"/>
          <w:i w:val="0"/>
        </w:rPr>
        <w:t xml:space="preserve">Escalona, S. L. (2025). Hedges and boosters in college essays: A study of linguistic modulation in student writing. </w:t>
      </w:r>
      <w:r>
        <w:rPr>
          <w:rFonts w:ascii="Georgia" w:hAnsi="Georgia" w:cs="Georgia" w:eastAsia="Georgia"/>
          <w:b w:val="0"/>
          <w:sz w:val="22"/>
          <w:i/>
          <w:iCs/>
        </w:rPr>
        <w:t>International Journal of English Literature and Social Sciences, 10</w:t>
      </w:r>
      <w:r>
        <w:rPr>
          <w:rFonts w:ascii="Georgia" w:hAnsi="Georgia" w:cs="Georgia" w:eastAsia="Georgia"/>
          <w:b w:val="0"/>
          <w:sz w:val="22"/>
          <w:i w:val="0"/>
        </w:rPr>
        <w:t>(1), 7–17. https://doi.org/10.22161/ijels.101.2</w:t>
      </w:r>
    </w:p>
    <w:p w:rsidR="00000000" w:rsidDel="00000000" w:rsidP="00000000" w:rsidRDefault="00000000" w:rsidRPr="00000000" w14:paraId="0000018A">
      <w:pPr>
        <w:spacing w:before="0" w:after="0" w:line="480" w:lineRule="auto"/>
        <w:ind w:left="720" w:hanging="720"/>
        <w:jc w:val="left"/>
        <w:rPr/>
      </w:pPr>
      <w:r>
        <w:rPr>
          <w:rFonts w:ascii="Georgia" w:hAnsi="Georgia" w:cs="Georgia" w:eastAsia="Georgia"/>
          <w:b w:val="0"/>
          <w:sz w:val="22"/>
          <w:i w:val="0"/>
        </w:rPr>
        <w:t xml:space="preserve">Hamidi, H., Najafi Sarem, S., &amp; Lotfi, A. H. (2025). Exploring hedging devices in scientific research papers: A content analysis study of the “Medical Journal of the Islamic Republic of Iran.” </w:t>
      </w:r>
      <w:r>
        <w:rPr>
          <w:rFonts w:ascii="Georgia" w:hAnsi="Georgia" w:cs="Georgia" w:eastAsia="Georgia"/>
          <w:b w:val="0"/>
          <w:sz w:val="22"/>
          <w:i/>
          <w:iCs/>
        </w:rPr>
        <w:t>Medical Journal of the Islamic Republic of Iran, 39</w:t>
      </w:r>
      <w:r>
        <w:rPr>
          <w:rFonts w:ascii="Georgia" w:hAnsi="Georgia" w:cs="Georgia" w:eastAsia="Georgia"/>
          <w:b w:val="0"/>
          <w:sz w:val="22"/>
          <w:i w:val="0"/>
        </w:rPr>
        <w:t>, Article 125. https://pmc.ncbi.nlm.nih.gov/articles/PMC12584097/</w:t>
      </w:r>
    </w:p>
    <w:p w:rsidR="00000000" w:rsidDel="00000000" w:rsidP="00000000" w:rsidRDefault="00000000" w:rsidRPr="00000000" w14:paraId="0000018B">
      <w:pPr>
        <w:spacing w:before="0" w:after="0" w:line="480" w:lineRule="auto"/>
        <w:ind w:left="720" w:hanging="720"/>
        <w:jc w:val="left"/>
        <w:rPr/>
      </w:pPr>
      <w:r>
        <w:rPr>
          <w:rFonts w:ascii="Georgia" w:hAnsi="Georgia" w:cs="Georgia" w:eastAsia="Georgia"/>
          <w:b w:val="0"/>
          <w:sz w:val="22"/>
          <w:i w:val="0"/>
        </w:rPr>
        <w:t xml:space="preserve">Hyland, K. (1998). </w:t>
      </w:r>
      <w:r>
        <w:rPr>
          <w:rFonts w:ascii="Georgia" w:hAnsi="Georgia" w:cs="Georgia" w:eastAsia="Georgia"/>
          <w:b w:val="0"/>
          <w:sz w:val="22"/>
          <w:i/>
          <w:iCs/>
        </w:rPr>
        <w:t>Hedging in scientific research articles</w:t>
      </w:r>
      <w:r>
        <w:rPr>
          <w:rFonts w:ascii="Georgia" w:hAnsi="Georgia" w:cs="Georgia" w:eastAsia="Georgia"/>
          <w:b w:val="0"/>
          <w:sz w:val="22"/>
          <w:i w:val="0"/>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cs="Georgia" w:eastAsia="Georgia"/>
          <w:b w:val="0"/>
          <w:sz w:val="22"/>
          <w:i w:val="0"/>
        </w:rPr>
        <w:t xml:space="preserve">Hyland, K. (2005). Stance and engagement: A model of interaction in academic discourse. </w:t>
      </w:r>
      <w:r>
        <w:rPr>
          <w:rFonts w:ascii="Georgia" w:hAnsi="Georgia" w:cs="Georgia" w:eastAsia="Georgia"/>
          <w:b w:val="0"/>
          <w:sz w:val="22"/>
          <w:i/>
          <w:iCs/>
        </w:rPr>
        <w:t>Discourse Studies, 7</w:t>
      </w:r>
      <w:r>
        <w:rPr>
          <w:rFonts w:ascii="Georgia" w:hAnsi="Georgia" w:cs="Georgia" w:eastAsia="Georgia"/>
          <w:b w:val="0"/>
          <w:sz w:val="22"/>
          <w:i w:val="0"/>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cs="Georgia" w:eastAsia="Georgia"/>
          <w:b w:val="0"/>
          <w:sz w:val="22"/>
          <w:i w:val="0"/>
        </w:rPr>
        <w:t xml:space="preserve">Hyland, K., &amp; Milton, J. (1997). Qualification and certainty in L1 and L2 students’ writing. </w:t>
      </w:r>
      <w:r>
        <w:rPr>
          <w:rFonts w:ascii="Georgia" w:hAnsi="Georgia" w:cs="Georgia" w:eastAsia="Georgia"/>
          <w:b w:val="0"/>
          <w:sz w:val="22"/>
          <w:i/>
          <w:iCs/>
        </w:rPr>
        <w:t>Journal of Second Language Writing, 6</w:t>
      </w:r>
      <w:r>
        <w:rPr>
          <w:rFonts w:ascii="Georgia" w:hAnsi="Georgia" w:cs="Georgia" w:eastAsia="Georgia"/>
          <w:b w:val="0"/>
          <w:sz w:val="22"/>
          <w:i w:val="0"/>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cs="Georgia" w:eastAsia="Georgia"/>
          <w:b w:val="0"/>
          <w:sz w:val="22"/>
          <w:i w:val="0"/>
        </w:rPr>
        <w:t xml:space="preserve">Imataki, N., &amp; Kobayashi, Y. (2024). Analyzing disciplinary variation in abstracts: Linguistic features across scientific and technical fields. </w:t>
      </w:r>
      <w:r>
        <w:rPr>
          <w:rFonts w:ascii="Georgia" w:hAnsi="Georgia" w:cs="Georgia" w:eastAsia="Georgia"/>
          <w:b w:val="0"/>
          <w:sz w:val="22"/>
          <w:i/>
          <w:iCs/>
        </w:rPr>
        <w:t>Linguistics and Literature Studies, 12</w:t>
      </w:r>
      <w:r>
        <w:rPr>
          <w:rFonts w:ascii="Georgia" w:hAnsi="Georgia" w:cs="Georgia" w:eastAsia="Georgia"/>
          <w:b w:val="0"/>
          <w:sz w:val="22"/>
          <w:i w:val="0"/>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cs="Georgia" w:eastAsia="Georgia"/>
          <w:b w:val="0"/>
          <w:sz w:val="22"/>
          <w:i w:val="0"/>
        </w:rPr>
        <w:t xml:space="preserve">Khunasathitchai, K., Sittironnarit, S., Sinturat, T., &amp; Kumdee, S. (2025). Move analysis and hedge use in the research paper abstracts of Thai EFL English-majored undergraduates. </w:t>
      </w:r>
      <w:r>
        <w:rPr>
          <w:rFonts w:ascii="Georgia" w:hAnsi="Georgia" w:cs="Georgia" w:eastAsia="Georgia"/>
          <w:b w:val="0"/>
          <w:sz w:val="22"/>
          <w:i/>
          <w:iCs/>
        </w:rPr>
        <w:t>rEFLections, 32</w:t>
      </w:r>
      <w:r>
        <w:rPr>
          <w:rFonts w:ascii="Georgia" w:hAnsi="Georgia" w:cs="Georgia" w:eastAsia="Georgia"/>
          <w:b w:val="0"/>
          <w:sz w:val="22"/>
          <w:i w:val="0"/>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cs="Georgia" w:eastAsia="Georgia"/>
          <w:b w:val="0"/>
          <w:sz w:val="22"/>
          <w:i w:val="0"/>
        </w:rPr>
        <w:t xml:space="preserve">Landis, J. R., &amp; Koch, G. G. (1977). The measurement of observer agreement for categorical data. </w:t>
      </w:r>
      <w:r>
        <w:rPr>
          <w:rFonts w:ascii="Georgia" w:hAnsi="Georgia" w:cs="Georgia" w:eastAsia="Georgia"/>
          <w:b w:val="0"/>
          <w:sz w:val="22"/>
          <w:i/>
          <w:iCs/>
        </w:rPr>
        <w:t>Biometrics, 33</w:t>
      </w:r>
      <w:r>
        <w:rPr>
          <w:rFonts w:ascii="Georgia" w:hAnsi="Georgia" w:cs="Georgia" w:eastAsia="Georgia"/>
          <w:b w:val="0"/>
          <w:sz w:val="22"/>
          <w:i w:val="0"/>
        </w:rPr>
        <w:t>(1), 159–174. https://doi.org/10.2307/2529310</w:t>
      </w:r>
    </w:p>
    <w:p>
      <w:pPr>
        <w:spacing w:before="0" w:after="0" w:line="480" w:lineRule="auto"/>
        <w:ind w:left="720" w:hanging="720"/>
        <w:jc w:val="left"/>
        <w:rPr/>
      </w:pPr>
      <w:r>
        <w:rPr>
          <w:rFonts w:ascii="Georgia" w:hAnsi="Georgia" w:cs="Georgia" w:eastAsia="Georgia"/>
          <w:b w:val="0"/>
          <w:sz w:val="22"/>
          <w:i w:val="0"/>
        </w:rPr>
        <w:t xml:space="preserve">Lopez, R. M. C., Pedida, J. A., Alzate, L. J. A., &amp; Eustaquio, M. T. L. (2025). Language of caution and certainty: Writing proficiency in hedges and boosters in student essays. </w:t>
      </w:r>
      <w:r>
        <w:rPr>
          <w:rFonts w:ascii="Georgia" w:hAnsi="Georgia" w:cs="Georgia" w:eastAsia="Georgia"/>
          <w:b w:val="0"/>
          <w:sz w:val="22"/>
          <w:i/>
          <w:iCs/>
        </w:rPr>
        <w:t>International Journal of Research and Innovation in Social Science, 9</w:t>
      </w:r>
      <w:r>
        <w:rPr>
          <w:rFonts w:ascii="Georgia" w:hAnsi="Georgia" w:cs="Georgia" w:eastAsia="Georgia"/>
          <w:b w:val="0"/>
          <w:sz w:val="22"/>
          <w:i w:val="0"/>
        </w:rPr>
        <w:t>(11),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hAnsi="Georgia" w:cs="Georgia" w:eastAsia="Georgia"/>
          <w:b w:val="0"/>
          <w:sz w:val="22"/>
          <w:i w:val="0"/>
        </w:rPr>
        <w:t xml:space="preserve">Mohammed, S. J. (2011). </w:t>
      </w:r>
      <w:r>
        <w:rPr>
          <w:rFonts w:ascii="Georgia" w:hAnsi="Georgia" w:cs="Georgia" w:eastAsia="Georgia"/>
          <w:b w:val="0"/>
          <w:sz w:val="22"/>
          <w:i/>
          <w:iCs/>
        </w:rPr>
        <w:t>Lexical hedges: A study of cultural and disciplinary variation in academic research articles</w:t>
      </w:r>
      <w:r>
        <w:rPr>
          <w:rFonts w:ascii="Georgia" w:hAnsi="Georgia" w:cs="Georgia" w:eastAsia="Georgia"/>
          <w:b w:val="0"/>
          <w:sz w:val="22"/>
          <w:i w:val="0"/>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cs="Georgia" w:eastAsia="Georgia"/>
          <w:b w:val="0"/>
          <w:sz w:val="22"/>
          <w:i w:val="0"/>
        </w:rPr>
        <w:t xml:space="preserve">Ningrum, S., Puspita, H., &amp; Mulyadi, A. I. (2024). Hedges and boosters in academic writing of ASEAN EFL learners. </w:t>
      </w:r>
      <w:r>
        <w:rPr>
          <w:rFonts w:ascii="Georgia" w:hAnsi="Georgia" w:cs="Georgia" w:eastAsia="Georgia"/>
          <w:b w:val="0"/>
          <w:sz w:val="22"/>
          <w:i/>
          <w:iCs/>
        </w:rPr>
        <w:t>Journal of English Education and Teaching, 8</w:t>
      </w:r>
      <w:r>
        <w:rPr>
          <w:rFonts w:ascii="Georgia" w:hAnsi="Georgia" w:cs="Georgia" w:eastAsia="Georgia"/>
          <w:b w:val="0"/>
          <w:sz w:val="22"/>
          <w:i w:val="0"/>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cs="Georgia" w:eastAsia="Georgia"/>
          <w:b w:val="0"/>
          <w:sz w:val="22"/>
          <w:i w:val="0"/>
        </w:rPr>
        <w:t xml:space="preserve">Petchkij, W. (2019). Explicit teaching of hedges: Bringing hedging in academic writing into the Thai EFL classroom. </w:t>
      </w:r>
      <w:r>
        <w:rPr>
          <w:rFonts w:ascii="Georgia" w:hAnsi="Georgia" w:cs="Georgia" w:eastAsia="Georgia"/>
          <w:b w:val="0"/>
          <w:sz w:val="22"/>
          <w:i/>
          <w:iCs/>
        </w:rPr>
        <w:t>Electronic Journal of Foreign Language Teaching, 16</w:t>
      </w:r>
      <w:r>
        <w:rPr>
          <w:rFonts w:ascii="Georgia" w:hAnsi="Georgia" w:cs="Georgia" w:eastAsia="Georgia"/>
          <w:b w:val="0"/>
          <w:sz w:val="22"/>
          <w:i w:val="0"/>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cs="Georgia" w:eastAsia="Georgia"/>
          <w:b w:val="0"/>
          <w:sz w:val="22"/>
          <w:i w:val="0"/>
        </w:rPr>
        <w:t xml:space="preserve">Salager-Meyer, F. (1994). Hedges and textual communicative function in medical English written discourse. </w:t>
      </w:r>
      <w:r>
        <w:rPr>
          <w:rFonts w:ascii="Georgia" w:hAnsi="Georgia" w:cs="Georgia" w:eastAsia="Georgia"/>
          <w:b w:val="0"/>
          <w:sz w:val="22"/>
          <w:i/>
          <w:iCs/>
        </w:rPr>
        <w:t>English for Specific Purposes, 13</w:t>
      </w:r>
      <w:r>
        <w:rPr>
          <w:rFonts w:ascii="Georgia" w:hAnsi="Georgia" w:cs="Georgia" w:eastAsia="Georgia"/>
          <w:b w:val="0"/>
          <w:sz w:val="22"/>
          <w:i w:val="0"/>
        </w:rPr>
        <w:t>(2), 149–170. https://doi.org/10.1016/0889-4906(94)90013-2</w:t>
      </w:r>
    </w:p>
    <w:p w:rsidR="00000000" w:rsidDel="00000000" w:rsidP="00000000" w:rsidRDefault="00000000" w:rsidRPr="00000000" w14:paraId="00000197">
      <w:pPr>
        <w:spacing w:before="0" w:after="0" w:line="480" w:lineRule="auto"/>
        <w:ind w:left="720" w:hanging="720"/>
        <w:jc w:val="left"/>
        <w:rPr/>
      </w:pPr>
      <w:r>
        <w:rPr>
          <w:rFonts w:ascii="Georgia" w:hAnsi="Georgia" w:cs="Georgia" w:eastAsia="Georgia"/>
          <w:b w:val="0"/>
          <w:sz w:val="22"/>
          <w:i w:val="0"/>
        </w:rPr>
        <w:t xml:space="preserve">Suratno, A., &amp; Aydawati, E. N. (2025). Hedging strategies in non-science theses: A corpus-based analysis of discussion sections. </w:t>
      </w:r>
      <w:r>
        <w:rPr>
          <w:rFonts w:ascii="Georgia" w:hAnsi="Georgia" w:cs="Georgia" w:eastAsia="Georgia"/>
          <w:b w:val="0"/>
          <w:sz w:val="22"/>
          <w:i/>
          <w:iCs/>
        </w:rPr>
        <w:t>ETERNAL (English Teaching Journal), 16</w:t>
      </w:r>
      <w:r>
        <w:rPr>
          <w:rFonts w:ascii="Georgia" w:hAnsi="Georgia" w:cs="Georgia" w:eastAsia="Georgia"/>
          <w:b w:val="0"/>
          <w:sz w:val="22"/>
          <w:i w:val="0"/>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cs="Georgia" w:eastAsia="Georgia"/>
          <w:b w:val="0"/>
          <w:sz w:val="22"/>
          <w:i w:val="0"/>
        </w:rPr>
        <w:t xml:space="preserve">Villanueva, V. S. (2014). Hedging devices in Philippine newspaper editorials. </w:t>
      </w:r>
      <w:r>
        <w:rPr>
          <w:rFonts w:ascii="Georgia" w:hAnsi="Georgia" w:cs="Georgia" w:eastAsia="Georgia"/>
          <w:b w:val="0"/>
          <w:sz w:val="22"/>
          <w:i/>
          <w:iCs/>
        </w:rPr>
        <w:t>Asian Journal of English Language Studies, 2</w:t>
      </w:r>
      <w:r>
        <w:rPr>
          <w:rFonts w:ascii="Georgia" w:hAnsi="Georgia" w:cs="Georgia" w:eastAsia="Georgia"/>
          <w:b w:val="0"/>
          <w:sz w:val="22"/>
          <w:i w:val="0"/>
        </w:rPr>
        <w:t>, 103–117. https://doi.org/10.59960/2.a5</w:t>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hAnsi="Georgia" w:cs="Georgia" w:eastAsia="Georgia"/>
          <w:b w:val="0"/>
          <w:sz w:val="22"/>
          <w:i w:val="0"/>
        </w:rPr>
        <w:t xml:space="preserve">Wang, X. (2022). </w:t>
      </w:r>
      <w:r>
        <w:rPr>
          <w:rFonts w:ascii="Georgia" w:hAnsi="Georgia" w:cs="Georgia" w:eastAsia="Georgia"/>
          <w:b w:val="0"/>
          <w:sz w:val="22"/>
          <w:i/>
          <w:iCs/>
        </w:rPr>
        <w:t>Hedging in academic writing: Cross-disciplinary comparisons in the Michigan Corpus of Upper-Level Student Papers (MICUSP)</w:t>
      </w:r>
      <w:r>
        <w:rPr>
          <w:rFonts w:ascii="Georgia" w:hAnsi="Georgia" w:cs="Georgia" w:eastAsia="Georgia"/>
          <w:b w:val="0"/>
          <w:sz w:val="22"/>
          <w:i w:val="0"/>
        </w:rPr>
        <w:t xml:space="preserve"> [Preprint]. OSF Preprints. https://osf.io/preprints/edarxiv/5xj27</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spacing w:before="40" w:after="20" w:line="264" w:lineRule="auto"/>
        <w:jc w:val="left"/>
        <w:rPr/>
      </w:pPr>
      <w:r>
        <w:rPr>
          <w:rFonts w:ascii="Georgia" w:cs="Georgia" w:eastAsia="Georgia" w:hAnsi="Georgia"/>
          <w:b w:val="1"/>
          <w:bCs w:val="1"/>
          <w:sz w:val="22"/>
          <w:szCs w:val="22"/>
          <w:rtl w:val="0"/>
        </w:rPr>
        <w:t xml:space="preserve">APPENDIX A: HEDGING CODEBOOK</w:t>
      </w:r>
      <w:r>
        <w:rPr>
          <w:rtl w:val="0"/>
          <w:sz w:val="22"/>
          <w:szCs w:val="22"/>
        </w:rPr>
      </w:r>
    </w:p>
    <w:p w:rsidR="00000000" w:rsidDel="00000000" w:rsidP="00000000" w:rsidRDefault="00000000" w:rsidRPr="00000000" w14:paraId="000001A0">
      <w:pPr>
        <w:spacing w:before="0" w:after="0" w:line="264" w:lineRule="auto"/>
        <w:jc w:val="both"/>
        <w:rPr/>
      </w:pPr>
      <w:r>
        <w:rPr>
          <w:rFonts w:ascii="Georgia" w:hAnsi="Georgia" w:cs="Georgia" w:eastAsia="Georgia"/>
          <w:b w:val="0"/>
          <w:sz w:val="22"/>
          <w:szCs w:val="22"/>
        </w:rPr>
        <w:t>• Full protocol: quick-reference → legend → stages → examples → type/function tables → decision rules → false positives → unhedged assertions.</w:t>
      </w:r>
    </w:p>
    <w:p w:rsidR="00000000" w:rsidDel="00000000" w:rsidP="00000000" w:rsidRDefault="00000000" w:rsidRPr="00000000" w14:paraId="000001A2">
      <w:pPr>
        <w:keepNext w:val="1"/>
        <w:spacing w:before="40" w:after="20" w:line="264" w:lineRule="auto"/>
        <w:ind w:firstLine="720"/>
        <w:jc w:val="left"/>
        <w:rPr/>
      </w:pPr>
      <w:r>
        <w:rPr>
          <w:rFonts w:ascii="Georgia" w:cs="Georgia" w:eastAsia="Georgia" w:hAnsi="Georgia"/>
          <w:b w:val="1"/>
          <w:bCs w:val="1"/>
          <w:sz w:val="22"/>
          <w:szCs w:val="22"/>
          <w:rtl w:val="0"/>
        </w:rPr>
        <w:t xml:space="preserve">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sz w:val="22"/>
          <w:szCs w:val="22"/>
        </w:rPr>
      </w:r>
    </w:p>
    <w:p w:rsidR="00000000" w:rsidDel="00000000" w:rsidP="00000000" w:rsidRDefault="00000000" w:rsidRPr="00000000" w14:paraId="000001A4">
      <w:pPr>
        <w:keepNext w:val="1"/>
        <w:spacing w:before="24" w:after="0" w:line="264" w:lineRule="auto"/>
        <w:jc w:val="left"/>
        <w:rPr/>
      </w:pPr>
      <w:r>
        <w:rPr>
          <w:rFonts w:ascii="Georgia" w:cs="Georgia" w:eastAsia="Georgia" w:hAnsi="Georgia"/>
          <w:b w:val="1"/>
          <w:bCs w:val="1"/>
          <w:sz w:val="22"/>
          <w:szCs w:val="22"/>
          <w:rtl w:val="0"/>
        </w:rPr>
        <w:t xml:space="preserve">Hedge 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force or certainty of a claim and pass Stage 1.</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sz w:val="22"/>
          <w:szCs w:val="22"/>
        </w:rPr>
      </w:r>
    </w:p>
    <w:p w:rsidR="00000000" w:rsidDel="00000000" w:rsidP="00000000" w:rsidRDefault="00000000" w:rsidRPr="00000000" w14:paraId="000001A9">
      <w:pPr>
        <w:keepNext w:val="1"/>
        <w:spacing w:before="24" w:after="0" w:line="264" w:lineRule="auto"/>
        <w:ind w:firstLine="720"/>
        <w:jc w:val="left"/>
        <w:rPr/>
      </w:pPr>
      <w:r>
        <w:rPr>
          <w:rFonts w:ascii="Georgia" w:cs="Georgia" w:eastAsia="Georgia" w:hAnsi="Georgia"/>
          <w:b w:val="1"/>
          <w:bCs w:val="1"/>
          <w:sz w:val="22"/>
          <w:szCs w:val="22"/>
          <w:rtl w:val="0"/>
        </w:rPr>
        <w:t xml:space="preserve">Hedge functions</w:t>
      </w:r>
      <w:r>
        <w:rPr>
          <w:rtl w:val="0"/>
          <w:sz w:val="22"/>
          <w:szCs w:val="22"/>
        </w:rPr>
      </w:r>
    </w:p>
    <w:p w:rsidR="00000000" w:rsidDel="00000000" w:rsidP="00000000" w:rsidRDefault="00000000" w:rsidRPr="00000000" w14:paraId="000001AA">
      <w:pPr>
        <w:spacing w:before="0" w:after="0" w:line="264"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sz w:val="22"/>
          <w:szCs w:val="22"/>
        </w:rPr>
      </w:r>
    </w:p>
    <w:p w:rsidR="00000000" w:rsidDel="00000000" w:rsidP="00000000" w:rsidRDefault="00000000" w:rsidRPr="00000000" w14:paraId="000001AB">
      <w:pPr>
        <w:spacing w:before="0" w:after="0" w:line="264"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sz w:val="22"/>
          <w:szCs w:val="22"/>
        </w:rPr>
      </w:r>
    </w:p>
    <w:p w:rsidR="00000000" w:rsidDel="00000000" w:rsidP="00000000" w:rsidRDefault="00000000" w:rsidRPr="00000000" w14:paraId="000001AC">
      <w:pPr>
        <w:spacing w:before="0" w:after="0" w:line="264"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sz w:val="22"/>
          <w:szCs w:val="22"/>
        </w:rPr>
      </w:r>
    </w:p>
    <w:p w:rsidR="00000000" w:rsidDel="00000000" w:rsidP="00000000" w:rsidRDefault="00000000" w:rsidRPr="00000000" w14:paraId="000001AD">
      <w:pPr>
        <w:keepNext w:val="1"/>
        <w:spacing w:before="24" w:after="0" w:line="264" w:lineRule="auto"/>
        <w:ind w:firstLine="720"/>
        <w:jc w:val="left"/>
        <w:rPr/>
      </w:pPr>
      <w:r>
        <w:rPr>
          <w:rFonts w:ascii="Georgia" w:cs="Georgia" w:eastAsia="Georgia" w:hAnsi="Georgia"/>
          <w:b w:val="1"/>
          <w:bCs w:val="1"/>
          <w:sz w:val="22"/>
          <w:szCs w:val="22"/>
          <w:rtl w:val="0"/>
        </w:rPr>
        <w:t xml:space="preserve">Core decision rules</w:t>
      </w:r>
      <w:r>
        <w:rPr>
          <w:rtl w:val="0"/>
          <w:sz w:val="22"/>
          <w:szCs w:val="22"/>
        </w:rPr>
      </w:r>
    </w:p>
    <w:p w:rsidR="00000000" w:rsidDel="00000000" w:rsidP="00000000" w:rsidRDefault="00000000" w:rsidRPr="00000000" w14:paraId="000001AE">
      <w:pPr>
        <w:spacing w:before="0" w:after="0" w:line="264" w:lineRule="auto"/>
        <w:ind w:left="240" w:firstLine="720"/>
        <w:jc w:val="both"/>
        <w:rPr/>
      </w:pPr>
      <w:r>
        <w:rPr>
          <w:rFonts w:ascii="Georgia" w:hAnsi="Georgia" w:cs="Georgia" w:eastAsia="Georgia"/>
          <w:rtl w:val="0"/>
          <w:i/>
          <w:iCs/>
          <w:sz w:val="22"/>
          <w:szCs w:val="22"/>
        </w:rPr>
        <w:t xml:space="preserve">suggest / indicate becomes hedge when introducing a finding. Not a hedge when introducing a recommendation.</w:t>
      </w:r>
      <w:r>
        <w:rPr>
          <w:rtl w:val="0"/>
          <w:rFonts w:ascii="Georgia" w:hAnsi="Georgia"/>
          <w:sz w:val="22"/>
          <w:szCs w:val="22"/>
          <w:i/>
          <w:iCs/>
        </w:rPr>
      </w:r>
    </w:p>
    <w:p w:rsidR="00000000" w:rsidDel="00000000" w:rsidP="00000000" w:rsidRDefault="00000000" w:rsidRPr="00000000" w14:paraId="000001AF">
      <w:pPr>
        <w:spacing w:before="0" w:after="0" w:line="264" w:lineRule="auto"/>
        <w:ind w:left="240" w:firstLine="720"/>
        <w:jc w:val="both"/>
        <w:rPr/>
      </w:pPr>
      <w:r>
        <w:rPr>
          <w:rFonts w:ascii="Georgia" w:hAnsi="Georgia" w:cs="Georgia" w:eastAsia="Georgia"/>
          <w:rtl w:val="0"/>
          <w:i/>
          <w:iCs/>
          <w:sz w:val="22"/>
          <w:szCs w:val="22"/>
        </w:rPr>
        <w:t xml:space="preserve">can / may becomes hedge when marking possibility. Not a hedge when marking capability.</w:t>
      </w:r>
      <w:r>
        <w:rPr>
          <w:rtl w:val="0"/>
          <w:rFonts w:ascii="Georgia" w:hAnsi="Georgia"/>
          <w:sz w:val="22"/>
          <w:szCs w:val="22"/>
          <w:i/>
          <w:iCs/>
        </w:rPr>
      </w:r>
    </w:p>
    <w:p w:rsidR="00000000" w:rsidDel="00000000" w:rsidP="00000000" w:rsidRDefault="00000000" w:rsidRPr="00000000" w14:paraId="000001B0">
      <w:pPr>
        <w:spacing w:before="0" w:after="0" w:line="264" w:lineRule="auto"/>
        <w:ind w:left="240" w:firstLine="720"/>
        <w:jc w:val="both"/>
        <w:rPr/>
      </w:pPr>
      <w:r>
        <w:rPr>
          <w:rFonts w:ascii="Georgia" w:hAnsi="Georgia" w:cs="Georgia" w:eastAsia="Georgia"/>
          <w:rtl w:val="0"/>
          <w:i/>
          <w:iCs/>
          <w:sz w:val="22"/>
          <w:szCs w:val="22"/>
        </w:rPr>
        <w:t xml:space="preserve">generally / typically becomes hedge when limiting the scope of a claim. Not a hedge when describing a procedural norm.</w:t>
      </w:r>
      <w:r>
        <w:rPr>
          <w:rtl w:val="0"/>
          <w:rFonts w:ascii="Georgia" w:hAnsi="Georgia"/>
          <w:sz w:val="22"/>
          <w:szCs w:val="22"/>
          <w:i/>
          <w:iCs/>
        </w:rPr>
      </w:r>
    </w:p>
    <w:p w:rsidR="00000000" w:rsidDel="00000000" w:rsidP="00000000" w:rsidRDefault="00000000" w:rsidRPr="00000000" w14:paraId="000001B1">
      <w:pPr>
        <w:spacing w:before="0" w:after="0" w:line="264" w:lineRule="auto"/>
        <w:ind w:left="240" w:firstLine="0"/>
        <w:jc w:val="both"/>
        <w:rPr/>
      </w:pPr>
      <w:r>
        <w:rPr>
          <w:rFonts w:ascii="Georgia" w:hAnsi="Georgia" w:cs="Georgia" w:eastAsia="Georgia"/>
          <w:rtl w:val="0"/>
          <w:i/>
          <w:iCs/>
          <w:sz w:val="22"/>
          <w:szCs w:val="22"/>
        </w:rPr>
        <w:t xml:space="preserve">appear / seem becomes hedge when expressing uncertainty about a result. Not a hedge when pointing to location in a table or text.</w:t>
      </w:r>
      <w:r>
        <w:rPr>
          <w:rtl w:val="0"/>
          <w:rFonts w:ascii="Georgia" w:hAnsi="Georgia"/>
          <w:sz w:val="22"/>
          <w:szCs w:val="22"/>
          <w:i/>
          <w:iCs/>
        </w:rPr>
      </w:r>
    </w:p>
    <w:p w:rsidR="00000000" w:rsidDel="00000000" w:rsidP="00000000" w:rsidRDefault="00000000" w:rsidRPr="00000000" w14:paraId="000001B2">
      <w:pPr>
        <w:keepNext w:val="1"/>
        <w:spacing w:before="24" w:after="0" w:line="264" w:lineRule="auto"/>
        <w:ind w:firstLine="720"/>
        <w:jc w:val="left"/>
        <w:rPr/>
      </w:pPr>
      <w:r>
        <w:rPr>
          <w:rFonts w:ascii="Georgia" w:cs="Georgia" w:eastAsia="Georgia" w:hAnsi="Georgia"/>
          <w:b w:val="1"/>
          <w:bCs w:val="1"/>
          <w:sz w:val="22"/>
          <w:szCs w:val="22"/>
          <w:rtl w:val="0"/>
        </w:rPr>
        <w:t xml:space="preserve">Exclusion and Working Test</w:t>
      </w:r>
      <w:r>
        <w:rPr>
          <w:rtl w:val="0"/>
          <w:sz w:val="22"/>
          <w:szCs w:val="22"/>
        </w:rPr>
      </w:r>
    </w:p>
    <w:p w:rsidR="00000000" w:rsidDel="00000000" w:rsidP="00000000" w:rsidRDefault="00000000" w:rsidRPr="00000000" w14:paraId="000001B3">
      <w:pPr>
        <w:spacing w:before="0" w:after="0" w:line="264" w:lineRule="auto"/>
        <w:jc w:val="both"/>
        <w:rPr/>
        <w:ind w:left="360" w:hanging="360"/>
      </w:pPr>
      <w:r>
        <w:rPr>
          <w:rFonts w:ascii="Georgia" w:hAnsi="Georgia" w:cs="Georgia" w:eastAsia="Georgia"/>
          <w:b w:val="0"/>
          <w:bCs w:val="0"/>
          <w:sz w:val="22"/>
          <w:szCs w:val="22"/>
          <w:rtl w:val="0"/>
        </w:rPr>
        <w:t>• Never hedges: ability, future procedure, must/should in procedural steps, and deontic recommendations or obligations (FP-Rec). • Stage 1 (retention): keep the device if removing it makes a knowledge claim more categorical or more direct, or softens how that claim is put forward (force, directness, or uptake). P and DO can pass Stage 1. • Stage 1 excludes: capability, pure procedure, pure move sequencing, and topic-naming with no force reduction on a claim. • Working Test (Stage 2, EC only): does removing the device change commitment to the truth of the proposition? Supports an EC label. Not the only Stage 1 gate.</w:t>
      </w:r>
      <w:r>
        <w:rPr>
          <w:rtl w:val="0"/>
          <w:sz w:val="22"/>
          <w:szCs w:val="22"/>
        </w:rPr>
      </w:r>
    </w:p>
    <w:p>
      <w:pPr>
        <w:spacing w:line="240" w:lineRule="auto" w:before="0" w:after="0"/>
      </w:pPr>
      <w:r>
        <w:br w:type="page"/>
      </w:r>
    </w:p>
    <w:p w:rsidR="00000000" w:rsidDel="00000000" w:rsidP="00000000" w:rsidRDefault="00000000" w:rsidRPr="00000000" w14:paraId="00000233">
      <w:pPr>
        <w:keepNext w:val="1"/>
        <w:spacing w:before="60" w:after="0" w:line="288"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spacing w:before="0" w:after="0" w:line="288"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88"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88"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tblHeader w:val="0"/>
          <w:cantSplit/>
        </w:trPr>
        <w:tc>
          <w:tcPr/>
          <w:p w:rsidR="00000000" w:rsidDel="00000000" w:rsidP="00000000" w:rsidRDefault="00000000" w:rsidRPr="00000000" w14:paraId="00000237">
            <w:pPr>
              <w:spacing w:before="0" w:after="0" w:line="288"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88"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88"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88"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88"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88"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88"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tblHeader w:val="0"/>
          <w:cantSplit/>
        </w:trPr>
        <w:tc>
          <w:tcPr/>
          <w:p w:rsidR="00000000" w:rsidDel="00000000" w:rsidP="00000000" w:rsidRDefault="00000000" w:rsidRPr="00000000" w14:paraId="0000023E">
            <w:pPr>
              <w:spacing w:before="0" w:after="0" w:line="288" w:lineRule="auto"/>
              <w:jc w:val="both"/>
              <w:rPr/>
            </w:pPr>
            <w:r>
              <w:rPr>
                <w:rFonts w:ascii="Georgia" w:cs="Georgia" w:eastAsia="Georgia" w:hAnsi="Georgia"/>
                <w:b w:val="1"/>
                <w:bCs w:val="1"/>
                <w:i w:val="0"/>
                <w:iCs w:val="0"/>
                <w:color w:val="000000"/>
                <w:sz w:val="18"/>
                <w:szCs w:val="18"/>
                <w:rtl w:val="0"/>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88" w:lineRule="auto"/>
              <w:jc w:val="both"/>
              <w:rPr/>
            </w:pPr>
            <w:r>
              <w:rPr>
                <w:rFonts w:ascii="Georgia" w:cs="Georgia" w:eastAsia="Georgia" w:hAnsi="Georgia"/>
                <w:sz w:val="18"/>
                <w:szCs w:val="18"/>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88"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88"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80" w:after="0" w:line="288"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288"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“The results suggested (EC) that C. longa extracts are potential (EC) alternative stains. PCR can (FP-Cap) also detect low concentrations, while a prior line stated flatly that Results showed no infection.”</w:t>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color w:val="ffffff"/>
          <w:sz w:val="22"/>
          <w:szCs w:val="22"/>
          <w:highlight w:val="red"/>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ed7d31"/>
          <w:sz w:val="22"/>
          <w:szCs w:val="22"/>
          <w:rtl w:val="0"/>
        </w:rPr>
        <w:t xml:space="preserve"/>
      </w:r>
      <w:r>
        <w:rPr>
          <w:rFonts w:ascii="Georgia" w:hAnsi="Georgia" w:cs="Georgia" w:eastAsia="Georgia"/>
          <w:color w:val="000000"/>
        </w:rPr>
        <w:t xml:space="preserve"/>
      </w:r>
      <w:r>
        <w:rPr>
          <w:rFonts w:ascii="Georgia" w:hAnsi="Georgia" w:cs="Georgia" w:eastAsia="Georgia"/>
          <w:highlight w:val="red"/>
          <w:color w:val="ffffff"/>
        </w:rPr>
        <w:t/>
      </w:r>
      <w:r>
        <w:rPr>
          <w:rFonts w:ascii="Georgia" w:hAnsi="Georgia" w:cs="Georgia" w:eastAsia="Georgia"/>
          <w:color w:val="000000"/>
        </w:rPr>
        <w:t xml:space="preserve"/>
      </w:r>
      <w:r>
        <w:rPr>
          <w:rFonts w:ascii="Georgia" w:hAnsi="Georgia" w:cs="Georgia" w:eastAsia="Georgia"/>
          <w:color w:val="ed7d31"/>
        </w:rPr>
        <w:t/>
      </w:r>
      <w:r>
        <w:rPr>
          <w:rFonts w:ascii="Georgia" w:hAnsi="Georgia" w:cs="Georgia" w:eastAsia="Georgia"/>
          <w:color w:val="000000"/>
        </w:rPr>
        <w:t xml:space="preserve"/>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color w:val="80808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i w:val="0"/>
          <w:iCs w:val="0"/>
          <w:color w:val="000000"/>
          <w:sz w:val="22"/>
          <w:szCs w:val="22"/>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45">
      <w:pPr>
        <w:spacing w:before="0" w:after="0" w:line="288" w:lineRule="auto"/>
        <w:ind w:firstLine="720"/>
        <w:jc w:val="both"/>
        <w:rPr/>
      </w:pPr>
      <w:r>
        <w:rPr>
          <w:i w:val="1"/>
          <w:iCs w:val="1"/>
          <w:color w:val="404040"/>
          <w:rtl w:val="0"/>
        </w:rPr>
        <w:t xml:space="preserve"> Colored highlights mark type. Colored text marks function. Grey highlights mark an unhedged assertion. Here, “potential” is retained as a Lexical hedge because it appears in a results/conclusion sentence and qualifies the claim about the extracts.</w:t>
      </w:r>
      <w:r>
        <w:rPr>
          <w:rFonts w:ascii="Georgia" w:cs="Georgia" w:eastAsia="Georgia" w:hAnsi="Georgia"/>
          <w:b w:val="0"/>
          <w:bCs w:val="0"/>
          <w:i w:val="1"/>
          <w:iCs w:val="1"/>
          <w:color w:val="404040"/>
          <w:sz w:val="22"/>
          <w:szCs w:val="22"/>
          <w:rtl w:val="0"/>
        </w:rPr>
        <w:t xml:space="preserve"/>
      </w:r>
      <w:r>
        <w:rPr>
          <w:rtl w:val="0"/>
        </w:rPr>
      </w:r>
    </w:p>
    <w:p w:rsidR="00000000" w:rsidDel="00000000" w:rsidP="00000000" w:rsidRDefault="00000000" w:rsidRPr="00000000" w14:paraId="00000247">
      <w:pPr>
        <w:keepNext w:val="1"/>
        <w:spacing w:before="60" w:after="40" w:line="288"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88"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88"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88"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88"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51">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40" w:line="288"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40" w:line="288" w:lineRule="auto"/>
        <w:ind w:firstLine="720"/>
        <w:jc w:val="both"/>
        <w:rPr/>
      </w:pPr>
      <w:r>
        <w:rPr>
          <w:rFonts w:ascii="Georgia" w:hAnsi="Georgia" w:cs="Georgia" w:eastAsia="Georgia"/>
          <w:b w:val="0"/>
          <w:bCs w:val="0"/>
          <w:i w:val="1"/>
          <w:iCs w:val="1"/>
          <w:color w:val="000000"/>
          <w:sz w:val="22"/>
          <w:szCs w:val="22"/>
          <w:rtl w:val="0"/>
        </w:rPr>
        <w:t>Unhedged-assertion data, tracked separately so it never inflates RQ2 counts. Layer 3 records only warranted-but-absent caution (generalizations and causal or evaluative overclaims), not every clause where a hedge could be inserted.</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88"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88"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6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40" w:line="288"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spacing w:before="0" w:after="40" w:line="288"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88"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88"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88"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88"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88"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88"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tblHeader w:val="0"/>
          <w:cantSplit/>
        </w:trPr>
        <w:tc>
          <w:tcPr/>
          <w:p w:rsidR="00000000" w:rsidDel="00000000" w:rsidP="00000000" w:rsidRDefault="00000000" w:rsidRPr="00000000" w14:paraId="00000274">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88"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1B4">
      <w:pPr>
        <w:keepNext w:val="1"/>
        <w:spacing w:before="120" w:after="6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6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left="360" w:hanging="360"/>
        <w:jc w:val="both"/>
        <w:rPr/>
      </w:pPr>
      <w:r>
        <w:rPr>
          <w:rFonts w:ascii="Georgia" w:cs="Georgia" w:eastAsia="Georgia" w:hAnsi="Georgia"/>
          <w:b w:val="0"/>
          <w:bCs w:val="0"/>
          <w:sz w:val="22"/>
          <w:szCs w:val="22"/>
          <w:rtl w:val="0"/>
        </w:rPr>
        <w:t>• Practical coding scheme for the PSAU undergraduate thesis abstract corpus, adapted from Hyland (1998).</w:t>
      </w:r>
      <w:r>
        <w:rPr>
          <w:rtl w:val="0"/>
        </w:rPr>
      </w:r>
    </w:p>
    <w:p w:rsidR="00000000" w:rsidDel="00000000" w:rsidP="00000000" w:rsidRDefault="00000000" w:rsidRPr="00000000" w14:paraId="000001B8">
      <w:pPr>
        <w:keepNext w:val="1"/>
        <w:spacing w:before="120" w:after="60" w:line="360" w:lineRule="auto"/>
        <w:jc w:val="left"/>
        <w:rPr/>
      </w:pPr>
      <w:r>
        <w:rPr>
          <w:rFonts w:ascii="Georgia" w:cs="Georgia" w:eastAsia="Georgia" w:hAnsi="Georgia"/>
          <w:b w:val="1"/>
          <w:bCs w:val="1"/>
          <w:i w:val="0"/>
          <w:iCs w:val="0"/>
          <w:sz w:val="24"/>
          <w:szCs w:val="24"/>
          <w:rtl w:val="0"/>
        </w:rPr>
        <w:t xml:space="preserve">STAGE 1, STAGE 2, AND WORKING TEST</w:t>
      </w:r>
      <w:r>
        <w:rPr>
          <w:rtl w:val="0"/>
        </w:rPr>
      </w:r>
    </w:p>
    <w:p w:rsidR="00000000" w:rsidDel="00000000" w:rsidP="00000000" w:rsidRDefault="00000000" w:rsidRPr="00000000" w14:paraId="000001B9">
      <w:pPr>
        <w:spacing w:before="0" w:after="0" w:line="360" w:lineRule="auto"/>
        <w:ind w:left="360" w:hanging="360"/>
        <w:jc w:val="both"/>
        <w:rPr/>
      </w:pPr>
      <w:r>
        <w:rPr>
          <w:rFonts w:ascii="Georgia" w:cs="Georgia" w:eastAsia="Georgia" w:hAnsi="Georgia"/>
          <w:b w:val="0"/>
          <w:bCs w:val="0"/>
          <w:i w:val="0"/>
          <w:iCs w:val="0"/>
          <w:color w:val="000000"/>
          <w:sz w:val="22"/>
          <w:szCs w:val="22"/>
          <w:rtl w:val="0"/>
        </w:rPr>
        <w:t>• Stage 1 (retention). Keep if removing the expression makes a knowledge claim more categorical or more direct, or softens how that claim is put forward.</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083">
      <w:pPr>
        <w:spacing w:before="120" w:after="60" w:line="360" w:lineRule="auto"/>
        <w:ind w:left="360" w:hanging="360"/>
        <w:jc w:val="both"/>
        <w:rPr/>
      </w:pPr>
      <w:r>
        <w:rPr>
          <w:rFonts w:ascii="Georgia" w:cs="Georgia" w:eastAsia="Georgia" w:hAnsi="Georgia"/>
          <w:b w:val="0"/>
          <w:bCs w:val="0"/>
          <w:i w:val="0"/>
          <w:iCs w:val="0"/>
          <w:sz w:val="22"/>
          <w:szCs w:val="22"/>
          <w:rtl w:val="0"/>
        </w:rPr>
        <w:t>• Stage 1 excludes. Recommendations or obligations, capability, pure procedure, pure move sequencing, topic-naming with no force reduction on a claim.</w:t>
      </w:r>
      <w:r>
        <w:rPr>
          <w:rtl w:val="0"/>
        </w:rPr>
      </w:r>
    </w:p>
    <w:p w:rsidR="00000000" w:rsidDel="00000000" w:rsidP="00000000" w:rsidRDefault="00000000" w:rsidRPr="00000000" w14:paraId="000001BA">
      <w:pPr>
        <w:spacing w:before="120" w:after="60" w:line="360" w:lineRule="auto"/>
        <w:ind w:left="360" w:hanging="360"/>
        <w:jc w:val="both"/>
        <w:rPr/>
      </w:pPr>
      <w:r>
        <w:rPr>
          <w:rFonts w:ascii="Georgia" w:cs="Georgia" w:eastAsia="Georgia" w:hAnsi="Georgia"/>
          <w:b w:val="0"/>
          <w:bCs w:val="0"/>
          <w:i w:val="0"/>
          <w:iCs w:val="0"/>
          <w:sz w:val="22"/>
          <w:szCs w:val="22"/>
          <w:rtl w:val="0"/>
        </w:rPr>
        <w:t>• Stage 2 (function). Label retained items EC, P, and/or DO. Co-occurrence allowed.</w:t>
      </w:r>
      <w:r>
        <w:rPr>
          <w:rtl w:val="0"/>
        </w:rPr>
      </w:r>
    </w:p>
    <w:p w:rsidR="00000000" w:rsidDel="00000000" w:rsidP="00000000" w:rsidRDefault="00000000" w:rsidRPr="00000000" w14:paraId="000001BB">
      <w:pPr>
        <w:spacing w:before="0" w:after="0" w:line="360" w:lineRule="auto"/>
        <w:ind w:left="360" w:hanging="360"/>
        <w:jc w:val="both"/>
        <w:rPr/>
      </w:pPr>
      <w:r>
        <w:rPr>
          <w:rFonts w:ascii="Georgia" w:cs="Georgia" w:eastAsia="Georgia" w:hAnsi="Georgia"/>
          <w:b w:val="0"/>
          <w:bCs w:val="0"/>
          <w:i w:val="0"/>
          <w:iCs w:val="0"/>
          <w:color w:val="000000"/>
          <w:sz w:val="22"/>
          <w:szCs w:val="22"/>
          <w:rtl w:val="0"/>
        </w:rPr>
        <w:t>• Working Test (EC only). Does removing the device change commitment to the truth of the proposition? Supports EC. Not the only Stage 1 gate.</w:t>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Fonts w:ascii="Georgia" w:cs="Georgia" w:eastAsia="Georgia" w:hAnsi="Georgia"/>
          <w:b w:val="0"/>
          <w:bCs w:val="0"/>
          <w:i w:val="1"/>
          <w:iCs w:val="1"/>
          <w:color w:val="000000"/>
          <w:sz w:val="22"/>
          <w:szCs w:val="22"/>
          <w:rtl w:val="0"/>
        </w:rPr>
      </w:r>
      <w:r>
        <w:rPr>
          <w:rFonts w:ascii="Georgia" w:cs="Georgia" w:eastAsia="Georgia" w:hAnsi="Georgia"/>
          <w:b w:val="0"/>
          <w:bCs w:val="0"/>
          <w:i w:val="0"/>
          <w:iCs w:val="0"/>
          <w:color w:val="000000"/>
          <w:sz w:val="22"/>
          <w:szCs w:val="22"/>
          <w:rtl w:val="0"/>
        </w:rPr>
      </w:r>
      <w:r>
        <w:rPr>
          <w:rtl w:val="0"/>
        </w:rPr>
      </w:r>
    </w:p>
    <w:p w:rsidR="00000000" w:rsidDel="00000000" w:rsidP="00000000" w:rsidRDefault="00000000" w:rsidRPr="00000000" w14:paraId="000001BC">
      <w:pPr>
        <w:spacing w:before="120" w:after="60" w:line="360" w:lineRule="auto"/>
        <w:ind w:left="360" w:hanging="360"/>
        <w:jc w:val="both"/>
        <w:rPr/>
      </w:pPr>
      <w:r>
        <w:rPr>
          <w:rFonts w:ascii="Georgia" w:cs="Georgia" w:eastAsia="Georgia" w:hAnsi="Georgia"/>
          <w:b w:val="0"/>
          <w:bCs w:val="0"/>
          <w:i w:val="0"/>
          <w:iCs w:val="0"/>
          <w:sz w:val="22"/>
          <w:szCs w:val="22"/>
          <w:rtl w:val="0"/>
        </w:rPr>
        <w:t>• Softening / deontic / order. Softening includes P and DO at Stage 1 when force or uptake is reduced. Deontic advice is never retained (FP-Rec). Coding order: full sentence → Stage 1 → Decision Rules → Stage 2 → Working Test for EC → Coder Notes.</w:t>
      </w:r>
      <w:r>
        <w:rPr>
          <w:rtl w:val="0"/>
        </w:rPr>
      </w:r>
    </w:p>
    <w:p w:rsidR="00000000" w:rsidDel="00000000" w:rsidP="00000000" w:rsidRDefault="00000000" w:rsidRPr="00000000" w14:paraId="00000083">
      <w:pPr>
        <w:spacing w:before="120" w:after="60" w:line="360" w:lineRule="auto"/>
        <w:ind w:firstLine="720"/>
        <w:jc w:val="both"/>
        <w:rPr/>
      </w:pPr>
      <w:r>
        <w:rPr>
          <w:rFonts w:ascii="Georgia" w:cs="Georgia" w:eastAsia="Georgia" w:hAnsi="Georgia"/>
          <w:b w:val="1"/>
          <w:bCs w:val="0"/>
          <w:i w:val="0"/>
          <w:iCs w:val="0"/>
          <w:sz w:val="22"/>
          <w:szCs w:val="22"/>
          <w:rtl w:val="0"/>
        </w:rPr>
        <w:t xml:space="preserve">WORKING EXAMPLES: STAGE 1 RETENTION AND STAGE 2 FUNCTION (EC, P, DO)</w:t>
      </w:r>
      <w:r>
        <w:rPr>
          <w:rtl w:val="0"/>
          <w:b w:val="1"/>
        </w:rPr>
      </w:r>
    </w:p>
    <w:p w:rsidR="00000000" w:rsidDel="00000000" w:rsidP="00000000" w:rsidRDefault="00000000" w:rsidRPr="00000000" w14:paraId="00000083">
      <w:pPr>
        <w:spacing w:before="0" w:after="0" w:line="360" w:lineRule="auto"/>
        <w:ind w:left="360" w:hanging="360"/>
        <w:jc w:val="both"/>
        <w:rPr/>
      </w:pPr>
      <w:r>
        <w:rPr>
          <w:rFonts w:ascii="Georgia" w:hAnsi="Georgia" w:cs="Georgia" w:eastAsia="Georgia"/>
          <w:b w:val="0"/>
          <w:bCs w:val="0"/>
          <w:i w:val="0"/>
          <w:iCs w:val="0"/>
          <w:sz w:val="22"/>
          <w:szCs w:val="22"/>
          <w:rtl w:val="0"/>
        </w:rPr>
        <w:t>• Function labels apply after Stage 1. Stage 1 = how a finding is stated, not advice. Working Test supports EC when certainty changes.</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EC: “The treatment may reduce infection rates.” Removing may raises certainty → hedge, EC.</w:t>
      </w:r>
      <w:r>
        <w:rPr>
          <w:rtl w:val="0"/>
        </w:rPr>
      </w:r>
    </w:p>
    <w:p w:rsidR="00000000" w:rsidDel="00000000" w:rsidP="00000000" w:rsidRDefault="00000000" w:rsidRPr="00000000" w14:paraId="00000083">
      <w:pPr>
        <w:spacing w:before="120" w:after="60" w:line="360" w:lineRule="auto"/>
        <w:ind w:left="360" w:hanging="360"/>
        <w:jc w:val="both"/>
        <w:rPr/>
      </w:pPr>
      <w:r>
        <w:rPr>
          <w:rFonts w:ascii="Georgia" w:hAnsi="Georgia" w:cs="Georgia" w:eastAsia="Georgia"/>
          <w:b w:val="0"/>
          <w:bCs w:val="0"/>
          <w:i w:val="0"/>
          <w:iCs w:val="0"/>
          <w:sz w:val="22"/>
          <w:szCs w:val="22"/>
          <w:rtl w:val="0"/>
        </w:rPr>
        <w:t>• FP-Cap: “PCR can detect low concentrations.” can = capability, not uncertainty about a finding.</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“As suggested by previous researchers, the treatment is effective.” Stage 1 may pass. EC Working Test fails if certainty is unchanged → function P.</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P + EC: Stage 1 and Working Test both pass → dominant function from context (or dual note in Coder Notes).</w:t>
      </w:r>
      <w:r>
        <w:rPr>
          <w:rtl w:val="0"/>
        </w:rPr>
      </w:r>
    </w:p>
    <w:p w:rsidR="00000000" w:rsidDel="00000000" w:rsidP="00000000" w:rsidRDefault="00000000" w:rsidRPr="00000000" w14:paraId="00000083">
      <w:pPr>
        <w:spacing w:before="40" w:after="20" w:line="360" w:lineRule="auto"/>
        <w:ind w:left="360" w:hanging="360"/>
        <w:jc w:val="both"/>
        <w:rPr/>
      </w:pPr>
      <w:r>
        <w:rPr>
          <w:rFonts w:ascii="Georgia" w:hAnsi="Georgia" w:cs="Georgia" w:eastAsia="Georgia"/>
          <w:b w:val="0"/>
          <w:bCs w:val="0"/>
          <w:i w:val="0"/>
          <w:iCs w:val="0"/>
          <w:sz w:val="22"/>
          <w:szCs w:val="22"/>
          <w:rtl w:val="0"/>
        </w:rPr>
        <w:t>• DO: “It should be noted that the treatment increased plant height.” Frame guides the reader, not certainty → DO if Stage 1 passes on framing only.</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DO frame + separate hedge: “It should be noted that the results may indicate growth.” Code may as hedge (EC). Frame alone is not the hedge count.</w:t>
      </w:r>
      <w:r>
        <w:rPr>
          <w:rtl w:val="0"/>
        </w:rPr>
      </w:r>
    </w:p>
    <w:p w:rsidR="00000000" w:rsidDel="00000000" w:rsidP="00000000" w:rsidRDefault="00000000" w:rsidRPr="00000000" w14:paraId="00000083">
      <w:pPr>
        <w:spacing w:before="40" w:after="20" w:line="360" w:lineRule="auto"/>
        <w:ind w:left="360" w:hanging="360"/>
        <w:jc w:val="both"/>
        <w:rPr/>
      </w:pPr>
      <w:r>
        <w:rPr>
          <w:rFonts w:ascii="Georgia" w:cs="Georgia" w:eastAsia="Georgia" w:hAnsi="Georgia"/>
          <w:b w:val="0"/>
          <w:bCs w:val="0"/>
          <w:i w:val="0"/>
          <w:iCs w:val="0"/>
          <w:sz w:val="22"/>
          <w:szCs w:val="22"/>
          <w:rtl w:val="0"/>
        </w:rPr>
        <w:t>• Summary: Stage 1 may retain P or DO when force or uptake is reduced. Stage 2 labels EC / P / DO. Working Test supports EC only. In this corpus all 65 retained tokens were EC. No P forms appeared. Sequence-only connectives were not counted.</w:t>
      </w:r>
      <w:r>
        <w:rPr>
          <w:rtl w:val="0"/>
        </w:rPr>
      </w:r>
    </w:p>
    <w:p w:rsidR="00000000" w:rsidDel="00000000" w:rsidP="00000000" w:rsidRDefault="00000000" w:rsidRPr="00000000" w14:paraId="000001BE">
      <w:pPr>
        <w:keepNext w:val="1"/>
        <w:spacing w:before="60" w:after="20" w:line="360" w:lineRule="auto"/>
        <w:jc w:val="left"/>
        <w:rPr/>
      </w:pPr>
      <w:r>
        <w:rPr>
          <w:rFonts w:ascii="Georgia" w:hAnsi="Georgia" w:cs="Georgia" w:eastAsia="Georgia"/>
          <w:b/>
          <w:bCs w:val="1"/>
          <w:i w:val="0"/>
          <w:iCs w:val="0"/>
          <w:sz w:val="24"/>
          <w:szCs w:val="24"/>
          <w:rtl w:val="0"/>
        </w:rPr>
        <w:t>HEDGE TYPE (PRIMARY COLORS)</w:t>
      </w:r>
      <w:r>
        <w:rPr>
          <w:rtl w:val="0"/>
        </w:rPr>
      </w:r>
    </w:p>
    <w:p w:rsidR="00000000" w:rsidDel="00000000" w:rsidP="00000000" w:rsidRDefault="00000000" w:rsidRPr="00000000" w14:paraId="000001BF">
      <w:pPr>
        <w:keepNext w:val="1"/>
        <w:spacing w:before="80" w:after="4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60" w:after="60" w:line="360" w:lineRule="auto"/>
        <w:ind/>
        <w:jc w:val="both"/>
        <w:rPr/>
      </w:pPr>
      <w:r>
        <w:rPr>
          <w:rFonts w:ascii="Georgia" w:hAnsi="Georgia" w:cs="Georgia" w:eastAsia="Georgia"/>
          <w:b w:val="0"/>
          <w:bCs w:val="0"/>
          <w:i w:val="1"/>
          <w:iCs w:val="1"/>
          <w:color w:val="000000"/>
          <w:sz w:val="22"/>
          <w:szCs w:val="22"/>
          <w:rtl w:val="0"/>
        </w:rPr>
        <w:t>Exclusions (capability, recommendation, procedural norm, location) are in the Decision Rules table.</w:t>
      </w:r>
      <w:r>
        <w:rPr>
          <w:rFonts w:ascii="Georgia" w:cs="Georgia" w:eastAsia="Georgia" w:hAnsi="Georgia"/>
          <w:b w:val="1"/>
          <w:bCs w:val="1"/>
          <w:i w:val="1"/>
          <w:iCs w:val="1"/>
          <w:color w:val="000000"/>
          <w:sz w:val="22"/>
          <w:szCs w:val="22"/>
          <w:rtl w:val="0"/>
        </w:rPr>
      </w:r>
      <w:r>
        <w:rPr>
          <w:rFonts w:ascii="Georgia" w:cs="Georgia" w:eastAsia="Georgia" w:hAnsi="Georgia"/>
          <w:b w:val="0"/>
          <w:bCs w:val="0"/>
          <w:i w:val="1"/>
          <w:iCs w:val="1"/>
          <w:color w:val="000000"/>
          <w:sz w:val="22"/>
          <w:szCs w:val="22"/>
          <w:rtl w:val="0"/>
        </w:rPr>
      </w:r>
      <w:r>
        <w:rPr>
          <w:rtl w:val="0"/>
        </w:rPr>
      </w:r>
    </w:p>
    <w:p w:rsidR="00000000" w:rsidDel="00000000" w:rsidP="00000000" w:rsidRDefault="00000000" w:rsidRPr="00000000" w14:paraId="000001D6">
      <w:pPr>
        <w:keepNext w:val="1"/>
        <w:spacing w:before="20" w:after="20" w:line="360" w:lineRule="auto"/>
        <w:ind w:left="360" w:hanging="360"/>
        <w:jc w:val="both"/>
        <w:rPr/>
      </w:pPr>
      <w:r>
        <w:rPr>
          <w:rFonts w:ascii="Georgia" w:hAnsi="Georgia" w:cs="Georgia" w:eastAsia="Georgia"/>
          <w:b w:val="0"/>
          <w:i w:val="0"/>
          <w:iCs w:val="0"/>
          <w:sz w:val="22"/>
          <w:szCs w:val="22"/>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Fonts w:ascii="Georgia" w:cs="Georgia" w:eastAsia="Georgia" w:hAnsi="Georgia"/>
          <w:i w:val="0"/>
          <w:iCs w:val="0"/>
          <w:color w:val="000000"/>
          <w:sz w:val="22"/>
          <w:szCs w:val="22"/>
          <w:rtl w:val="0"/>
        </w:rPr>
      </w:r>
      <w:r>
        <w:rPr>
          <w:rFonts w:ascii="Georgia" w:cs="Georgia" w:eastAsia="Georgia" w:hAnsi="Georgia"/>
          <w:i w:val="1"/>
          <w:iCs w:val="1"/>
          <w:color w:val="000000"/>
          <w:sz w:val="22"/>
          <w:szCs w:val="22"/>
          <w:rtl w:val="0"/>
        </w:rPr>
      </w:r>
      <w:r>
        <w:rPr>
          <w:rtl w:val="0"/>
        </w:rPr>
      </w:r>
    </w:p>
    <w:p w:rsidR="00000000" w:rsidDel="00000000" w:rsidP="00000000" w:rsidRDefault="00000000" w:rsidRPr="00000000" w14:paraId="000001D8">
      <w:pPr>
        <w:keepNext w:val="1"/>
        <w:spacing w:before="20" w:after="20" w:line="360" w:lineRule="auto"/>
        <w:jc w:val="left"/>
        <w:rPr/>
      </w:pPr>
      <w:r>
        <w:rPr>
          <w:rFonts w:ascii="Georgia" w:hAnsi="Georgia" w:cs="Georgia" w:eastAsia="Georgia"/>
          <w:b/>
          <w:bCs w:val="1"/>
          <w:i w:val="0"/>
          <w:iCs w:val="0"/>
          <w:sz w:val="24"/>
          <w:szCs w:val="24"/>
          <w:rtl w:val="0"/>
        </w:rPr>
        <w:t>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20"/>
                <w:szCs w:val="20"/>
                <w:rtl w:val="0"/>
              </w:rPr>
              <w:t xml:space="preserve">Label</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20"/>
                <w:szCs w:val="20"/>
                <w:rtl w:val="0"/>
              </w:rPr>
              <w:t xml:space="preserve">Function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20"/>
                <w:szCs w:val="20"/>
                <w:rtl w:val="0"/>
              </w:rPr>
              <w:t xml:space="preserve">Marked Example</w:t>
            </w:r>
            <w:r>
              <w:rPr>
                <w:rtl w:val="0"/>
                <w:sz w:val="20"/>
                <w:szCs w:val="20"/>
                <w:rFonts w:ascii="Georgia" w:hAnsi="Georgia"/>
              </w:rPr>
            </w:r>
          </w:p>
        </w:tc>
      </w:tr>
      <w:tr>
        <w:trPr>
          <w:tblHeader w:val="0"/>
          <w:cantSplit/>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20"/>
                <w:szCs w:val="20"/>
                <w:rtl w:val="0"/>
              </w:rPr>
              <w:t xml:space="preserve">EC</w:t>
            </w:r>
            <w:r>
              <w:rPr>
                <w:rtl w:val="0"/>
                <w:sz w:val="20"/>
                <w:szCs w:val="20"/>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20"/>
                <w:szCs w:val="20"/>
                <w:rtl w:val="0"/>
              </w:rPr>
              <w:t xml:space="preserve">Epistemic Caution</w:t>
            </w:r>
            <w:r>
              <w:rPr>
                <w:rtl w:val="0"/>
                <w:sz w:val="20"/>
                <w:szCs w:val="20"/>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20"/>
                <w:szCs w:val="20"/>
                <w:rtl w:val="0"/>
              </w:rPr>
              <w:t xml:space="preserve">Expresses uncertainty about a claim’s truth.</w:t>
            </w:r>
            <w:r>
              <w:rPr>
                <w:rtl w:val="0"/>
                <w:sz w:val="20"/>
                <w:szCs w:val="20"/>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20"/>
                <w:szCs w:val="20"/>
                <w:rtl w:val="0"/>
              </w:rPr>
              <w:t xml:space="preserve">“The treatment </w:t>
            </w:r>
            <w:r>
              <w:rPr>
                <w:rFonts w:ascii="Georgia" w:cs="Georgia" w:eastAsia="Georgia" w:hAnsi="Georgia"/>
                <w:b w:val="1"/>
                <w:bCs w:val="1"/>
                <w:strike w:val="0"/>
                <w:color w:val="000000"/>
                <w:sz w:val="20"/>
                <w:szCs w:val="20"/>
                <w:shd w:fill="00b0f0" w:val="clear"/>
                <w:rtl w:val="0"/>
              </w:rPr>
              <w:t xml:space="preserve">may</w:t>
            </w:r>
            <w:r>
              <w:rPr>
                <w:rFonts w:ascii="Georgia" w:cs="Georgia" w:eastAsia="Georgia" w:hAnsi="Georgia"/>
                <w:b w:val="0"/>
                <w:bCs w:val="0"/>
                <w:i w:val="0"/>
                <w:iCs w:val="0"/>
                <w:color w:val="000000"/>
                <w:sz w:val="20"/>
                <w:szCs w:val="20"/>
                <w:rtl w:val="0"/>
              </w:rPr>
              <w:t xml:space="preserve"> reduce infection rates. </w:t>
            </w:r>
            <w:r>
              <w:rPr>
                <w:rFonts w:ascii="Georgia" w:cs="Georgia" w:eastAsia="Georgia" w:hAnsi="Georgia"/>
                <w:b w:val="1"/>
                <w:bCs w:val="1"/>
                <w:i w:val="0"/>
                <w:iCs w:val="0"/>
                <w:color w:val="ed7d31"/>
                <w:sz w:val="20"/>
                <w:szCs w:val="20"/>
                <w:rtl w:val="0"/>
              </w:rPr>
              <w:t xml:space="preserve">(EC)</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20"/>
                <w:szCs w:val="20"/>
                <w:rtl w:val="0"/>
              </w:rPr>
              <w:t xml:space="preserve">P</w:t>
            </w:r>
            <w:r>
              <w:rPr>
                <w:rtl w:val="0"/>
                <w:sz w:val="20"/>
                <w:szCs w:val="20"/>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20"/>
                <w:szCs w:val="20"/>
                <w:rtl w:val="0"/>
              </w:rPr>
              <w:t xml:space="preserve">Politeness / Deference</w:t>
            </w:r>
            <w:r>
              <w:rPr>
                <w:rtl w:val="0"/>
                <w:sz w:val="20"/>
                <w:szCs w:val="20"/>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20"/>
                <w:szCs w:val="20"/>
                <w:rtl w:val="0"/>
              </w:rPr>
              <w:t xml:space="preserve">Shows respect to readers or prior research.</w:t>
            </w:r>
            <w:r>
              <w:rPr>
                <w:rtl w:val="0"/>
                <w:sz w:val="20"/>
                <w:szCs w:val="20"/>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20"/>
                <w:szCs w:val="20"/>
                <w:rtl w:val="0"/>
              </w:rPr>
              <w:t xml:space="preserve">“As </w:t>
            </w:r>
            <w:r>
              <w:rPr>
                <w:rFonts w:ascii="Georgia" w:cs="Georgia" w:eastAsia="Georgia" w:hAnsi="Georgia"/>
                <w:b w:val="1"/>
                <w:bCs w:val="1"/>
                <w:strike w:val="0"/>
                <w:color w:val="ffffff"/>
                <w:sz w:val="20"/>
                <w:szCs w:val="20"/>
                <w:highlight w:val="red"/>
                <w:rtl w:val="0"/>
              </w:rPr>
              <w:t xml:space="preserve">suggested</w:t>
            </w:r>
            <w:r>
              <w:rPr>
                <w:rFonts w:ascii="Georgia" w:cs="Georgia" w:eastAsia="Georgia" w:hAnsi="Georgia"/>
                <w:b w:val="0"/>
                <w:bCs w:val="0"/>
                <w:i w:val="0"/>
                <w:iCs w:val="0"/>
                <w:color w:val="000000"/>
                <w:sz w:val="20"/>
                <w:szCs w:val="20"/>
                <w:rtl w:val="0"/>
              </w:rPr>
              <w:t xml:space="preserve"> by Hyland (1998). </w:t>
            </w:r>
            <w:r>
              <w:rPr>
                <w:rFonts w:ascii="Georgia" w:cs="Georgia" w:eastAsia="Georgia" w:hAnsi="Georgia"/>
                <w:b w:val="1"/>
                <w:bCs w:val="1"/>
                <w:i w:val="0"/>
                <w:iCs w:val="0"/>
                <w:color w:val="7030a0"/>
                <w:sz w:val="20"/>
                <w:szCs w:val="20"/>
                <w:rtl w:val="0"/>
              </w:rPr>
              <w:t xml:space="preserve">(P)</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r>
        <w:trPr>
          <w:tblHeader w:val="0"/>
          <w:cantSplit/>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20"/>
                <w:szCs w:val="20"/>
                <w:rtl w:val="0"/>
              </w:rPr>
              <w:t xml:space="preserve">DO</w:t>
            </w:r>
            <w:r>
              <w:rPr>
                <w:rtl w:val="0"/>
                <w:sz w:val="20"/>
                <w:szCs w:val="20"/>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20"/>
                <w:szCs w:val="20"/>
                <w:rtl w:val="0"/>
              </w:rPr>
              <w:t xml:space="preserve">Discourse Organization</w:t>
            </w:r>
            <w:r>
              <w:rPr>
                <w:rtl w:val="0"/>
                <w:sz w:val="20"/>
                <w:szCs w:val="20"/>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20"/>
                <w:szCs w:val="20"/>
                <w:rtl w:val="0"/>
              </w:rPr>
              <w:t xml:space="preserve">Structures text or guides reader expectations.</w:t>
            </w:r>
            <w:r>
              <w:rPr>
                <w:rtl w:val="0"/>
                <w:sz w:val="20"/>
                <w:szCs w:val="20"/>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20"/>
                <w:szCs w:val="20"/>
                <w:rtl w:val="0"/>
              </w:rPr>
              <w:t xml:space="preserve">“</w:t>
            </w:r>
            <w:r>
              <w:rPr>
                <w:rFonts w:ascii="Georgia" w:cs="Georgia" w:eastAsia="Georgia" w:hAnsi="Georgia"/>
                <w:b w:val="1"/>
                <w:bCs w:val="1"/>
                <w:strike w:val="0"/>
                <w:color w:val="ffffff"/>
                <w:sz w:val="20"/>
                <w:szCs w:val="20"/>
                <w:shd w:fill="00b050" w:val="clear"/>
                <w:rtl w:val="0"/>
              </w:rPr>
              <w:t xml:space="preserve">It should be noted that</w:t>
            </w:r>
            <w:r>
              <w:rPr>
                <w:rFonts w:ascii="Georgia" w:cs="Georgia" w:eastAsia="Georgia" w:hAnsi="Georgia"/>
                <w:b w:val="0"/>
                <w:bCs w:val="0"/>
                <w:i w:val="0"/>
                <w:iCs w:val="0"/>
                <w:color w:val="000000"/>
                <w:sz w:val="20"/>
                <w:szCs w:val="20"/>
                <w:rtl w:val="0"/>
              </w:rPr>
              <w:t xml:space="preserve">. </w:t>
            </w:r>
            <w:r>
              <w:rPr>
                <w:rFonts w:ascii="Georgia" w:cs="Georgia" w:eastAsia="Georgia" w:hAnsi="Georgia"/>
                <w:b w:val="1"/>
                <w:bCs w:val="1"/>
                <w:i w:val="0"/>
                <w:iCs w:val="0"/>
                <w:color w:val="00b0f0"/>
                <w:sz w:val="20"/>
                <w:szCs w:val="20"/>
                <w:rtl w:val="0"/>
              </w:rPr>
              <w:t xml:space="preserve">(DO)</w:t>
            </w:r>
            <w:r>
              <w:rPr>
                <w:rFonts w:ascii="Georgia" w:cs="Georgia" w:eastAsia="Georgia" w:hAnsi="Georgia"/>
                <w:b w:val="0"/>
                <w:bCs w:val="0"/>
                <w:i w:val="0"/>
                <w:iCs w:val="0"/>
                <w:color w:val="000000"/>
                <w:sz w:val="20"/>
                <w:szCs w:val="20"/>
                <w:rtl w:val="0"/>
              </w:rPr>
              <w:t xml:space="preserve">”</w:t>
            </w:r>
            <w:r>
              <w:rPr>
                <w:rtl w:val="0"/>
                <w:sz w:val="20"/>
                <w:szCs w:val="20"/>
                <w:rFonts w:ascii="Georgia" w:hAnsi="Georgia"/>
              </w:rPr>
            </w:r>
          </w:p>
        </w:tc>
      </w:tr>
    </w:tbl>
    <w:p w:rsidR="00000000" w:rsidDel="00000000" w:rsidP="00000000" w:rsidRDefault="00000000" w:rsidRPr="00000000" w14:paraId="000001EA">
      <w:pPr>
        <w:keepNext w:val="1"/>
        <w:spacing w:before="120" w:after="60" w:line="36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20"/>
                <w:szCs w:val="20"/>
                <w:rtl w:val="0"/>
              </w:rPr>
              <w:t xml:space="preserve">Token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20"/>
                <w:szCs w:val="20"/>
                <w:rtl w:val="0"/>
              </w:rPr>
              <w:t xml:space="preserve">Hedge When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20"/>
                <w:szCs w:val="20"/>
                <w:rtl w:val="0"/>
              </w:rPr>
              <w:t xml:space="preserve">Not a Hedge When</w:t>
            </w:r>
            <w:r>
              <w:rPr>
                <w:rtl w:val="0"/>
                <w:sz w:val="20"/>
                <w:szCs w:val="20"/>
                <w:rFonts w:ascii="Georgia" w:hAnsi="Georgia"/>
              </w:rPr>
            </w:r>
          </w:p>
        </w:tc>
      </w:tr>
      <w:tr>
        <w:trPr>
          <w:tblHeader w:val="0"/>
          <w:cantSplit/>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w:t>
            </w:r>
            <w:r>
              <w:rPr>
                <w:rtl w:val="0"/>
                <w:sz w:val="20"/>
                <w:szCs w:val="20"/>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20"/>
                <w:szCs w:val="20"/>
                <w:rtl w:val="0"/>
              </w:rPr>
              <w:t xml:space="preserve">Expresses uncertainty about a finding or conclusion</w:t>
            </w:r>
            <w:r>
              <w:rPr>
                <w:rtl w:val="0"/>
                <w:sz w:val="20"/>
                <w:szCs w:val="20"/>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20"/>
                <w:szCs w:val="20"/>
                <w:rtl w:val="0"/>
              </w:rPr>
              <w:t xml:space="preserve">Introduces a recommendation or action</w:t>
            </w:r>
            <w:r>
              <w:rPr>
                <w:rtl w:val="0"/>
                <w:sz w:val="20"/>
                <w:szCs w:val="20"/>
                <w:rFonts w:ascii="Georgia" w:hAnsi="Georgia"/>
              </w:rPr>
            </w:r>
          </w:p>
        </w:tc>
      </w:tr>
      <w:tr>
        <w:trPr>
          <w:tblHeader w:val="0"/>
          <w:cantSplit/>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20"/>
                <w:szCs w:val="20"/>
                <w:rtl w:val="0"/>
              </w:rPr>
              <w:t xml:space="preserve">suggest / indicate + need for</w:t>
            </w:r>
            <w:r>
              <w:rPr>
                <w:rtl w:val="0"/>
                <w:sz w:val="20"/>
                <w:szCs w:val="20"/>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20"/>
                <w:szCs w:val="20"/>
                <w:rtl w:val="0"/>
              </w:rPr>
              <w:t xml:space="preserve">Says the evidence suggests a need may exist</w:t>
            </w:r>
            <w:r>
              <w:rPr>
                <w:rtl w:val="0"/>
                <w:sz w:val="20"/>
                <w:szCs w:val="20"/>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20"/>
                <w:szCs w:val="20"/>
                <w:rtl w:val="0"/>
              </w:rPr>
              <w:t xml:space="preserve">Says what should be done or is needed</w:t>
            </w:r>
            <w:r>
              <w:rPr>
                <w:rtl w:val="0"/>
                <w:sz w:val="20"/>
                <w:szCs w:val="20"/>
                <w:rFonts w:ascii="Georgia" w:hAnsi="Georgia"/>
              </w:rPr>
            </w:r>
          </w:p>
        </w:tc>
      </w:tr>
      <w:tr>
        <w:trPr>
          <w:tblHeader w:val="0"/>
          <w:cantSplit/>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20"/>
                <w:szCs w:val="20"/>
                <w:rtl w:val="0"/>
              </w:rPr>
              <w:t xml:space="preserve">indicated by</w:t>
            </w:r>
            <w:r>
              <w:rPr>
                <w:rtl w:val="0"/>
                <w:sz w:val="20"/>
                <w:szCs w:val="20"/>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20"/>
                <w:szCs w:val="20"/>
                <w:rtl w:val="0"/>
              </w:rPr>
              <w:t xml:space="preserve">Introduces a conclusion drawn from evidence</w:t>
            </w:r>
            <w:r>
              <w:rPr>
                <w:rtl w:val="0"/>
                <w:sz w:val="20"/>
                <w:szCs w:val="20"/>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20"/>
                <w:szCs w:val="20"/>
                <w:rtl w:val="0"/>
              </w:rPr>
              <w:t xml:space="preserve">Points to evidence for a claim already stated</w:t>
            </w:r>
            <w:r>
              <w:rPr>
                <w:rtl w:val="0"/>
                <w:sz w:val="20"/>
                <w:szCs w:val="20"/>
                <w:rFonts w:ascii="Georgia" w:hAnsi="Georgia"/>
              </w:rPr>
            </w:r>
          </w:p>
        </w:tc>
      </w:tr>
      <w:tr>
        <w:trPr>
          <w:tblHeader w:val="0"/>
          <w:cantSplit/>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20"/>
                <w:szCs w:val="20"/>
                <w:rtl w:val="0"/>
              </w:rPr>
              <w:t xml:space="preserve">indicate / indicates that</w:t>
            </w:r>
            <w:r>
              <w:rPr>
                <w:rtl w:val="0"/>
                <w:sz w:val="20"/>
                <w:szCs w:val="20"/>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20"/>
                <w:szCs w:val="20"/>
                <w:rtl w:val="0"/>
              </w:rPr>
              <w:t xml:space="preserve">Introduces an inferential conclusion drawn from analysis</w:t>
            </w:r>
            <w:r>
              <w:rPr>
                <w:rtl w:val="0"/>
                <w:sz w:val="20"/>
                <w:szCs w:val="20"/>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20"/>
                <w:szCs w:val="20"/>
                <w:rtl w:val="0"/>
              </w:rPr>
              <w:t xml:space="preserve">Used as a synonym for showed/demonstrated (factive reporting)</w:t>
            </w:r>
            <w:r>
              <w:rPr>
                <w:rtl w:val="0"/>
                <w:sz w:val="20"/>
                <w:szCs w:val="20"/>
                <w:rFonts w:ascii="Georgia" w:hAnsi="Georgia"/>
              </w:rPr>
            </w:r>
          </w:p>
        </w:tc>
      </w:tr>
      <w:tr>
        <w:trPr>
          <w:tblHeader w:val="0"/>
          <w:cantSplit/>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20"/>
                <w:szCs w:val="20"/>
                <w:rtl w:val="0"/>
              </w:rPr>
              <w:t xml:space="preserve">indicating (participial)</w:t>
            </w:r>
            <w:r>
              <w:rPr>
                <w:rtl w:val="0"/>
                <w:sz w:val="20"/>
                <w:szCs w:val="20"/>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20"/>
                <w:szCs w:val="20"/>
                <w:rtl w:val="0"/>
              </w:rPr>
              <w:t xml:space="preserve">Introduces an inference beyond the operational definition of the result</w:t>
            </w:r>
            <w:r>
              <w:rPr>
                <w:rtl w:val="0"/>
                <w:sz w:val="20"/>
                <w:szCs w:val="20"/>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20"/>
                <w:szCs w:val="20"/>
                <w:rtl w:val="0"/>
              </w:rPr>
              <w:t xml:space="preserve">Restates the operational meaning of statistical significance</w:t>
            </w:r>
            <w:r>
              <w:rPr>
                <w:rtl w:val="0"/>
                <w:sz w:val="20"/>
                <w:szCs w:val="20"/>
                <w:rFonts w:ascii="Georgia" w:hAnsi="Georgia"/>
              </w:rPr>
            </w:r>
          </w:p>
        </w:tc>
      </w:tr>
      <w:tr>
        <w:trPr>
          <w:tblHeader w:val="0"/>
          <w:cantSplit/>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20"/>
                <w:szCs w:val="20"/>
                <w:rtl w:val="0"/>
              </w:rPr>
              <w:t xml:space="preserve">can / may</w:t>
            </w:r>
            <w:r>
              <w:rPr>
                <w:rtl w:val="0"/>
                <w:sz w:val="20"/>
                <w:szCs w:val="20"/>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20"/>
                <w:szCs w:val="20"/>
                <w:rtl w:val="0"/>
              </w:rPr>
              <w:t xml:space="preserve">Expresses possibility</w:t>
            </w:r>
            <w:r>
              <w:rPr>
                <w:rtl w:val="0"/>
                <w:sz w:val="20"/>
                <w:szCs w:val="20"/>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20"/>
                <w:szCs w:val="20"/>
                <w:rtl w:val="0"/>
              </w:rPr>
              <w:t xml:space="preserve">Expresses capability</w:t>
            </w:r>
            <w:r>
              <w:rPr>
                <w:rtl w:val="0"/>
                <w:sz w:val="20"/>
                <w:szCs w:val="20"/>
                <w:rFonts w:ascii="Georgia" w:hAnsi="Georgia"/>
              </w:rPr>
            </w:r>
          </w:p>
        </w:tc>
      </w:tr>
      <w:tr>
        <w:trPr>
          <w:tblHeader w:val="0"/>
          <w:cantSplit/>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20"/>
                <w:szCs w:val="20"/>
                <w:rtl w:val="0"/>
              </w:rPr>
              <w:t xml:space="preserve">generally / typically</w:t>
            </w:r>
            <w:r>
              <w:rPr>
                <w:rtl w:val="0"/>
                <w:sz w:val="20"/>
                <w:szCs w:val="20"/>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20"/>
                <w:szCs w:val="20"/>
                <w:rtl w:val="0"/>
              </w:rPr>
              <w:t xml:space="preserve">Qualifies scope</w:t>
            </w:r>
            <w:r>
              <w:rPr>
                <w:rtl w:val="0"/>
                <w:sz w:val="20"/>
                <w:szCs w:val="20"/>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20"/>
                <w:szCs w:val="20"/>
                <w:rtl w:val="0"/>
              </w:rPr>
              <w:t xml:space="preserve">Describes a procedural norm</w:t>
            </w:r>
            <w:r>
              <w:rPr>
                <w:rtl w:val="0"/>
                <w:sz w:val="20"/>
                <w:szCs w:val="20"/>
                <w:rFonts w:ascii="Georgia" w:hAnsi="Georgia"/>
              </w:rPr>
            </w:r>
          </w:p>
        </w:tc>
      </w:tr>
      <w:tr>
        <w:trPr>
          <w:tblHeader w:val="0"/>
          <w:cantSplit/>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20"/>
                <w:szCs w:val="20"/>
                <w:rtl w:val="0"/>
              </w:rPr>
              <w:t xml:space="preserve">appear / seem</w:t>
            </w:r>
            <w:r>
              <w:rPr>
                <w:rtl w:val="0"/>
                <w:sz w:val="20"/>
                <w:szCs w:val="20"/>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20"/>
                <w:szCs w:val="20"/>
                <w:rtl w:val="0"/>
              </w:rPr>
              <w:t xml:space="preserve">Expresses result uncertainty</w:t>
            </w:r>
            <w:r>
              <w:rPr>
                <w:rtl w:val="0"/>
                <w:sz w:val="20"/>
                <w:szCs w:val="20"/>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20"/>
                <w:szCs w:val="20"/>
                <w:rtl w:val="0"/>
              </w:rPr>
              <w:t xml:space="preserve">Indicates location</w:t>
            </w:r>
            <w:r>
              <w:rPr>
                <w:rtl w:val="0"/>
                <w:sz w:val="20"/>
                <w:szCs w:val="20"/>
                <w:rFonts w:ascii="Georgia" w:hAnsi="Georgia"/>
              </w:rPr>
            </w:r>
          </w:p>
        </w:tc>
      </w:tr>
    </w:tbl>
    <w:p w:rsidR="00000000" w:rsidDel="00000000" w:rsidP="00000000" w:rsidRDefault="00000000" w:rsidRPr="00000000" w14:paraId="00000208">
      <w:pPr>
        <w:spacing w:before="0" w:after="0" w:line="36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6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tblHeader w:val="0"/>
          <w:cantSplit/>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tblHeader w:val="0"/>
          <w:cantSplit/>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tblHeader w:val="0"/>
          <w:cantSplit/>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tblHeader w:val="0"/>
          <w:cantSplit/>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tblHeader w:val="0"/>
          <w:cantSplit/>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120" w:after="60" w:line="360" w:lineRule="auto"/>
        <w:jc w:val="both"/>
        <w:rPr/>
      </w:pPr>
      <w:r>
        <w:rPr>
          <w:rFonts w:ascii="Georgia" w:hAnsi="Georgia" w:cs="Georgia" w:eastAsia="Georgia"/>
          <w:b/>
          <w:bCs w:val="1"/>
          <w:i w:val="0"/>
          <w:iCs w:val="0"/>
          <w:sz w:val="24"/>
          <w:szCs w:val="24"/>
          <w:rtl w:val="0"/>
        </w:rPr>
        <w:t>UNHEDGED ASSERTIONS (WARRANTED CAUTION, NEUTRAL GREY)</w:t>
      </w:r>
      <w:r>
        <w:rPr>
          <w:rtl w:val="0"/>
        </w:rPr>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Grey-highlight the main assertive verb; place [G] or [C] beside it (same placement as (EC) on hedges).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Mark only claims where caution was warranted but absent.</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[G] = generalization or evaluative ranking beyond the data.</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[C] = cause–effect or impact stronger than the design supports.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Do not mark bare trial results, measured findings, or procedural statements.</w:t>
      </w:r>
    </w:p>
    <w:p w:rsidR="00000000" w:rsidDel="00000000" w:rsidP="00000000" w:rsidRDefault="00000000" w:rsidRPr="00000000" w14:paraId="00000221">
      <w:pPr>
        <w:keepNext w:val="1"/>
        <w:spacing w:before="0" w:after="0" w:line="360" w:lineRule="auto"/>
        <w:ind w:left="360" w:hanging="360"/>
        <w:jc w:val="both"/>
        <w:rPr/>
      </w:pPr>
      <w:r>
        <w:rPr>
          <w:rFonts w:ascii="Georgia" w:hAnsi="Georgia" w:cs="Georgia" w:eastAsia="Georgia"/>
          <w:b w:val="0"/>
          <w:bCs w:val="0"/>
          <w:i w:val="0"/>
          <w:iCs w:val="0"/>
          <w:color w:val="000000"/>
          <w:sz w:val="22"/>
          <w:szCs w:val="22"/>
          <w:rtl w:val="0"/>
        </w:rPr>
        <w:t xml:space="preserve">• Record the full clause in the coding sheet.</w:t>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20"/>
                <w:szCs w:val="20"/>
                <w:rtl w:val="0"/>
              </w:rPr>
              <w:t xml:space="preserve">Color</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20"/>
                <w:szCs w:val="20"/>
                <w:rtl w:val="0"/>
              </w:rPr>
              <w:t xml:space="preserve">Subtype</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20"/>
                <w:szCs w:val="20"/>
                <w:rtl w:val="0"/>
              </w:rPr>
              <w:t xml:space="preserve">Definition</w:t>
            </w:r>
            <w:r>
              <w:rPr>
                <w:rtl w:val="0"/>
                <w:sz w:val="20"/>
                <w:szCs w:val="20"/>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20"/>
                <w:szCs w:val="20"/>
                <w:rtl w:val="0"/>
              </w:rPr>
              <w:t xml:space="preserve">Highlighted Example</w:t>
            </w:r>
            <w:r>
              <w:rPr>
                <w:rtl w:val="0"/>
                <w:sz w:val="20"/>
                <w:szCs w:val="20"/>
                <w:rFonts w:ascii="Georgia" w:hAnsi="Georgia"/>
              </w:rPr>
            </w:r>
          </w:p>
        </w:tc>
      </w:tr>
      <w:tr>
        <w:trPr>
          <w:tblHeader w:val="0"/>
          <w:cantSplit/>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20"/>
                <w:szCs w:val="20"/>
                <w:rtl w:val="0"/>
              </w:rPr>
              <w:t xml:space="preserve">Result Claim [R] — Not markable (bare results).</w:t>
            </w:r>
            <w:r>
              <w:rPr>
                <w:rtl w:val="0"/>
                <w:sz w:val="20"/>
                <w:szCs w:val="20"/>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20"/>
                <w:szCs w:val="20"/>
                <w:rtl w:val="0"/>
              </w:rPr>
              <w:t xml:space="preserve">Not markable.</w:t>
            </w:r>
            <w:r>
              <w:rPr>
                <w:rtl w:val="0"/>
                <w:sz w:val="20"/>
                <w:szCs w:val="20"/>
                <w:rFonts w:ascii="Georgia" w:hAnsi="Georgia"/>
              </w:rPr>
            </w:r>
          </w:p>
        </w:tc>
        <w:tc>
          <w:tcPr/>
          <w:p w:rsidR="00000000" w:rsidDel="00000000" w:rsidP="00000000" w:rsidRDefault="00000000" w:rsidRPr="00000000" w14:paraId="00000229">
            <w:pPr>
              <w:spacing w:before="0" w:after="0" w:line="240" w:lineRule="auto"/>
              <w:jc w:val="both"/>
              <w:rPr/>
            </w:pPr>
            <w:r>
              <w:rPr>
                <w:rFonts w:ascii="Georgia" w:hAnsi="Georgia"/>
                <w:sz w:val="20"/>
                <w:szCs w:val="20"/>
              </w:rPr>
              <w:t xml:space="preserve">“</w:t>
            </w:r>
            <w:r>
              <w:rPr>
                <w:rFonts w:ascii="Georgia" w:hAnsi="Georgia"/>
                <w:sz w:val="20"/>
                <w:szCs w:val="20"/>
                <w:shd w:val="clear" w:color="auto" w:fill="bfbfbf"/>
              </w:rPr>
              <w:t xml:space="preserve">was</w:t>
            </w:r>
            <w:r>
              <w:rPr>
                <w:rFonts w:ascii="Georgia" w:hAnsi="Georgia"/>
                <w:sz w:val="20"/>
                <w:szCs w:val="20"/>
              </w:rPr>
              <w:t xml:space="preserve"> [G] the most compelling…” (mark) vs “Yield higher (p &lt; .05)” (omit).</w:t>
            </w:r>
          </w:p>
        </w:tc>
      </w:tr>
      <w:tr>
        <w:trPr>
          <w:tblHeader w:val="0"/>
          <w:cantSplit/>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20"/>
                <w:szCs w:val="20"/>
                <w:rtl w:val="0"/>
              </w:rPr>
              <w:t xml:space="preserve">Generalization [G]</w:t>
            </w:r>
            <w:r>
              <w:rPr>
                <w:rtl w:val="0"/>
                <w:sz w:val="20"/>
                <w:szCs w:val="20"/>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20"/>
                <w:szCs w:val="20"/>
                <w:rtl w:val="0"/>
              </w:rPr>
              <w:t xml:space="preserve">Inference or ranking beyond the data.</w:t>
            </w:r>
            <w:r>
              <w:rPr>
                <w:rtl w:val="0"/>
                <w:sz w:val="20"/>
                <w:szCs w:val="20"/>
                <w:rFonts w:ascii="Georgia" w:hAnsi="Georgia"/>
              </w:rPr>
            </w:r>
          </w:p>
        </w:tc>
        <w:tc>
          <w:tcPr/>
          <w:p w:rsidR="00000000" w:rsidDel="00000000" w:rsidP="00000000" w:rsidRDefault="00000000" w:rsidRPr="00000000" w14:paraId="0000022D">
            <w:pPr>
              <w:spacing w:before="0" w:after="0" w:line="240" w:lineRule="auto"/>
              <w:jc w:val="both"/>
              <w:rPr/>
            </w:pPr>
            <w:r>
              <w:rPr>
                <w:rFonts w:ascii="Georgia" w:hAnsi="Georgia"/>
                <w:sz w:val="20"/>
                <w:szCs w:val="20"/>
              </w:rPr>
              <w:t xml:space="preserve">“This </w:t>
            </w:r>
            <w:r>
              <w:rPr>
                <w:rFonts w:ascii="Georgia" w:hAnsi="Georgia"/>
                <w:sz w:val="20"/>
                <w:szCs w:val="20"/>
                <w:shd w:val="clear" w:color="auto" w:fill="bfbfbf"/>
              </w:rPr>
              <w:t xml:space="preserve">led</w:t>
            </w:r>
            <w:r>
              <w:rPr>
                <w:rFonts w:ascii="Georgia" w:hAnsi="Georgia"/>
                <w:sz w:val="20"/>
                <w:szCs w:val="20"/>
              </w:rPr>
              <w:t xml:space="preserve"> [G] to the conclusion that all farms were free of it.”</w:t>
            </w:r>
          </w:p>
        </w:tc>
      </w:tr>
      <w:tr>
        <w:trPr>
          <w:tblHeader w:val="0"/>
          <w:cantSplit/>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20"/>
                <w:szCs w:val="20"/>
                <w:rtl w:val="0"/>
                <w:shd w:val="clear" w:color="auto" w:fill="bfbfbf"/>
              </w:rPr>
              <w:t xml:space="preserve">      </w:t>
            </w:r>
            <w:r>
              <w:rPr>
                <w:rtl w:val="0"/>
                <w:sz w:val="20"/>
                <w:szCs w:val="20"/>
                <w:rFonts w:ascii="Georgia" w:hAnsi="Georgia"/>
                <w:shd w:val="clear" w:color="auto" w:fill="bfbfbf"/>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20"/>
                <w:szCs w:val="20"/>
                <w:rtl w:val="0"/>
              </w:rPr>
              <w:t xml:space="preserve">Causal Claim [C]</w:t>
            </w:r>
            <w:r>
              <w:rPr>
                <w:rtl w:val="0"/>
                <w:sz w:val="20"/>
                <w:szCs w:val="20"/>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20"/>
                <w:szCs w:val="20"/>
                <w:rtl w:val="0"/>
              </w:rPr>
              <w:t xml:space="preserve">Cause–effect stated as established.</w:t>
            </w:r>
            <w:r>
              <w:rPr>
                <w:rtl w:val="0"/>
                <w:sz w:val="20"/>
                <w:szCs w:val="20"/>
                <w:rFonts w:ascii="Georgia" w:hAnsi="Georgia"/>
              </w:rPr>
            </w:r>
          </w:p>
        </w:tc>
        <w:tc>
          <w:tcPr/>
          <w:p w:rsidR="00000000" w:rsidDel="00000000" w:rsidP="00000000" w:rsidRDefault="00000000" w:rsidRPr="00000000" w14:paraId="00000231">
            <w:pPr>
              <w:spacing w:before="0" w:after="0" w:line="240" w:lineRule="auto"/>
              <w:jc w:val="both"/>
              <w:rPr/>
            </w:pPr>
            <w:r>
              <w:rPr>
                <w:rFonts w:ascii="Georgia" w:hAnsi="Georgia"/>
                <w:sz w:val="20"/>
                <w:szCs w:val="20"/>
              </w:rPr>
              <w:t xml:space="preserve">“Extracts </w:t>
            </w:r>
            <w:r>
              <w:rPr>
                <w:rFonts w:ascii="Georgia" w:hAnsi="Georgia"/>
                <w:sz w:val="20"/>
                <w:szCs w:val="20"/>
                <w:shd w:val="clear" w:color="auto" w:fill="bfbfbf"/>
              </w:rPr>
              <w:t xml:space="preserve">produce</w:t>
            </w:r>
            <w:r>
              <w:rPr>
                <w:rFonts w:ascii="Georgia" w:hAnsi="Georgia"/>
                <w:sz w:val="20"/>
                <w:szCs w:val="20"/>
              </w:rPr>
              <w:t xml:space="preserve"> [C] comparable staining because they contain similar compounds.”</w:t>
            </w:r>
          </w:p>
        </w:tc>
      </w:tr>
    </w:tbl>
    <w:p>
      <w:pPr>
        <w:spacing w:line="240" w:lineRule="auto" w:before="0" w:after="0"/>
      </w:pPr>
      <w:r>
        <w:br w:type="page"/>
      </w:r>
    </w:p>
    <w:p w:rsidR="00000000" w:rsidDel="00000000" w:rsidP="00000000" w:rsidRDefault="00000000" w:rsidRPr="00000000" w14:paraId="0000027B">
      <w:pPr>
        <w:keepNext w:val="1"/>
        <w:spacing w:before="120" w:after="0" w:line="480" w:lineRule="auto"/>
        <w:jc w:val="left"/>
        <w:rPr/>
        <w:pageBreakBefore/>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80" w:lineRule="auto"/>
        <w:jc w:val="left"/>
        <w:rPr/>
      </w:pPr>
      <w:r>
        <w:rPr>
          <w:rFonts w:ascii="Georgia" w:hAnsi="Georgia" w:cs="Georgia" w:eastAsia="Georgia"/>
          <w:i w:val="1"/>
          <w:iCs w:val="1"/>
          <w:rtl w:val="0"/>
          <w:sz w:val="24"/>
          <w:szCs w:val="24"/>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12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12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bCs w:val="0"/>
          <w:i w:val="0"/>
          <w:iCs w:val="0"/>
          <w:sz w:val="22"/>
          <w:szCs w:val="22"/>
          <w:rtl w:val="0"/>
        </w:rPr>
        <w:t>This appendix presents the 60 abstracts with all coding marks applied. Type marks = color highlight on hedge tokens (blue = Modal Verbs, red = Lexical Hedges, yellow = Adverbial Hedges, green = Clause-Level Hedges). Function marks = function label in colored text (EC = orange, P = purple, DO = teal). Discourse connectors (Hence/Thus) are tagged (DO) even when not hedges. Function labels in this appendix are only EC, P, and DO. False positives = strikethrough + reason code in grey (e.g. FP-Rec = recommendation, not a function). Unhedged assertions = grey highlight + [G]/[C] bracket (warranted-but-absent caution only).</w:t>
      </w:r>
      <w:r>
        <w:rPr>
          <w:rtl w:val="0"/>
        </w:rPr>
      </w:r>
    </w:p>
    <w:p>
      <w:pPr>
        <w:spacing w:before="120" w:after="120" w:line="480" w:lineRule="auto"/>
      </w:pPr>
      <w:r>
        <w:rPr>
          <w:rFonts w:ascii="Georgia" w:hAnsi="Georgia" w:cs="Georgia" w:eastAsia="Georgia"/>
          <w:sz w:val="22"/>
          <w:i/>
        </w:rPr>
        <w:t xml:space="preserve">Note. Grey = assertive verb; [G]/[C] beside it (like (EC) on hedges). Warranted caution only; bare results not marked.</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2"/>
          <w:szCs w:val="24"/>
          <w:rtl w:val="0"/>
          <w:b/>
          <w:bCs/>
        </w:rPr>
        <w:t>Biology (B1–B20)</w:t>
      </w:r>
      <w:r>
        <w:rPr>
          <w:rtl w:val="0"/>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Bacillus subtilis BIOTECH 1679 was assessed under greenhouse conditions. Results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the zone of inhibition in the evaluation of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Mimosa pudica has promising antitussive properties and a wide safety margin, supporting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its therapeutic effects. Further studies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would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w:t>
      </w:r>
      <w:r>
        <w:rPr>
          <w:rFonts w:ascii="Georgia" w:hAnsi="Georgia" w:cs="Georgia" w:eastAsia="Georgia"/>
          <w:sz w:val="22"/>
          <w:szCs w:val="22"/>
          <w:b w:val="0"/>
          <w:bCs w:val="0"/>
          <w:shd w:val="clear" w:color="auto" w:fill="bfbfbf"/>
          <w:color w:val="000000"/>
        </w:rPr>
        <w:t xml:space="preserve">making</w:t>
      </w:r>
      <w:r>
        <w:rPr>
          <w:rFonts w:ascii="Georgia" w:hAnsi="Georgia" w:cs="Georgia" w:eastAsia="Georgia"/>
          <w:sz w:val="22"/>
          <w:szCs w:val="22"/>
          <w:b w:val="0"/>
          <w:bCs w:val="0"/>
          <w:color w:val="000000"/>
        </w:rPr>
        <w:t xml:space="preserve"> [G]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color w:val="000000"/>
        </w:rPr>
        <w:t xml:space="preserve">The study </w:t>
      </w:r>
      <w:r>
        <w:rPr>
          <w:rFonts w:ascii="Georgia" w:hAnsi="Georgia" w:cs="Georgia" w:eastAsia="Georgia"/>
          <w:sz w:val="22"/>
          <w:szCs w:val="22"/>
          <w:b w:val="0"/>
          <w:bCs w:val="0"/>
          <w:strike/>
          <w:color w:val="000000"/>
        </w:rPr>
        <w:t xml:space="preserve">generally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(FP-Proc)</w:t>
      </w:r>
      <w:r>
        <w:rPr>
          <w:rFonts w:ascii="Georgia" w:hAnsi="Georgia" w:cs="Georgia" w:eastAsia="Georgia"/>
          <w:sz w:val="22"/>
          <w:szCs w:val="22"/>
          <w:b w:val="0"/>
          <w:bCs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highlight w:val="red"/>
          <w:color w:val="FFFFFF"/>
        </w:rPr>
        <w:t xml:space="preserve">inferring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such observation was induced by the Z. talanai-infused nanozeolite pellet suspension. Hence, the biosynthesis of Z. talanai-infused nanozeolite pellets is feasible and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control bacterial infections caused by multi-drug resistant pathogens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color w:val="000000"/>
        </w:rPr>
        <w:t xml:space="preserve">This study aimed to identify the histoprotective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hd w:val="clear" w:color="auto" w:fill="bfbfbf"/>
          <w:color w:val="000000"/>
        </w:rPr>
        <w:t xml:space="preserve">caused</w:t>
      </w:r>
      <w:r>
        <w:rPr>
          <w:rFonts w:ascii="Georgia" w:hAnsi="Georgia" w:cs="Georgia" w:eastAsia="Georgia"/>
          <w:sz w:val="22"/>
          <w:szCs w:val="22"/>
          <w:b w:val="0"/>
          <w:bCs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color w:val="00000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strike/>
          <w:color w:val="000000"/>
        </w:rPr>
        <w:t xml:space="preserve">proposed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color w:val="00000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hd w:val="clear" w:color="auto" w:fill="bfbfbf"/>
          <w:color w:val="000000"/>
        </w:rPr>
        <w:t xml:space="preserve">provides</w:t>
      </w:r>
      <w:r>
        <w:rPr>
          <w:rFonts w:ascii="Georgia" w:hAnsi="Georgia" w:cs="Georgia" w:eastAsia="Georgia"/>
          <w:sz w:val="22"/>
          <w:szCs w:val="22"/>
          <w:b w:val="0"/>
          <w:bCs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color w:val="00000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due to [C]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color w:val="000000"/>
        </w:rPr>
        <w:t xml:space="preserve">Methicillin-resistant Staphylococcus aureus (MRSA) is a common and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severe pathogen that has developed resistance to several types of antibiotics. MRSA bacteria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public health risks associated with the handling and purchasing of second-hand clothing. This study, therefore, underscores the need for proper precautions to mitigate the spread of </w:t>
      </w:r>
      <w:r>
        <w:rPr>
          <w:rFonts w:ascii="Georgia" w:hAnsi="Georgia" w:cs="Georgia" w:eastAsia="Georgia"/>
          <w:sz w:val="22"/>
          <w:szCs w:val="22"/>
          <w:b w:val="0"/>
          <w:bCs w:val="0"/>
          <w:highlight w:val="yellow"/>
          <w:color w:val="000000"/>
        </w:rPr>
        <w:t xml:space="preserve">potentially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selective antibacterial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color w:val="00000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cs="Georgia" w:eastAsia="Georgia"/>
          <w:sz w:val="22"/>
          <w:szCs w:val="22"/>
          <w:b w:val="0"/>
          <w:bCs w:val="0"/>
          <w:strike/>
          <w:color w:val="000000"/>
        </w:rPr>
        <w:t xml:space="preserve">should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address the </w:t>
      </w:r>
      <w:r>
        <w:rPr>
          <w:rFonts w:ascii="Georgia" w:hAnsi="Georgia" w:cs="Georgia" w:eastAsia="Georgia"/>
          <w:sz w:val="22"/>
          <w:szCs w:val="22"/>
          <w:b w:val="0"/>
          <w:bCs w:val="0"/>
          <w:highlight w:val="red"/>
          <w:color w:val="FFFFFF"/>
        </w:rPr>
        <w:t xml:space="preserve">possible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color w:val="00000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Trichoderma harzianum among the four isolates. The results </w:t>
      </w:r>
      <w:r>
        <w:rPr>
          <w:rFonts w:ascii="Georgia" w:hAnsi="Georgia" w:cs="Georgia" w:eastAsia="Georgia"/>
          <w:sz w:val="22"/>
          <w:szCs w:val="22"/>
          <w:b w:val="0"/>
          <w:bCs w:val="0"/>
          <w:strike/>
          <w:color w:val="000000"/>
        </w:rPr>
        <w:t xml:space="preserve">indicate</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highlight w:val="red"/>
          <w:color w:val="FFFFFF"/>
        </w:rPr>
        <w:t xml:space="preserve">suggesting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2"/>
          <w:szCs w:val="24"/>
          <w:rtl w:val="0"/>
          <w:b/>
          <w:bCs/>
        </w:rPr>
        <w:t>Veterinary Medicine (VM1–VM20)</w:t>
      </w:r>
      <w:r>
        <w:rPr>
          <w:rtl w:val="0"/>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color w:val="00000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w:t>
      </w:r>
      <w:r>
        <w:rPr>
          <w:rFonts w:ascii="Georgia" w:hAnsi="Georgia" w:cs="Georgia" w:eastAsia="Georgia"/>
          <w:sz w:val="22"/>
          <w:szCs w:val="22"/>
          <w:b w:val="0"/>
          <w:bCs w:val="0"/>
          <w:shd w:val="clear" w:color="auto" w:fill="bfbfbf"/>
          <w:color w:val="000000"/>
        </w:rPr>
        <w:t xml:space="preserve">achieved</w:t>
      </w:r>
      <w:r>
        <w:rPr>
          <w:rFonts w:ascii="Georgia" w:hAnsi="Georgia" w:cs="Georgia" w:eastAsia="Georgia"/>
          <w:sz w:val="22"/>
          <w:szCs w:val="22"/>
          <w:b w:val="0"/>
          <w:bCs w:val="0"/>
          <w:color w:val="000000"/>
        </w:rPr>
        <w:t xml:space="preserve"> [C],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highlight w:val="red"/>
          <w:color w:val="FFFFFF"/>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highlight w:val="red"/>
          <w:color w:val="FFFFFF"/>
        </w:rPr>
        <w:t xml:space="preserve">likely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the evaluation of retail egg vendors showed a major issue of reusing the egg trays across vendors which has been strongly </w:t>
      </w:r>
      <w:r>
        <w:rPr>
          <w:rFonts w:ascii="Georgia" w:hAnsi="Georgia" w:cs="Georgia" w:eastAsia="Georgia"/>
          <w:sz w:val="22"/>
          <w:szCs w:val="22"/>
          <w:b w:val="0"/>
          <w:bCs w:val="0"/>
          <w:shd w:val="clear" w:color="auto" w:fill="bfbfbf"/>
          <w:color w:val="000000"/>
        </w:rPr>
        <w:t xml:space="preserve">linked</w:t>
      </w:r>
      <w:r>
        <w:rPr>
          <w:rFonts w:ascii="Georgia" w:hAnsi="Georgia" w:cs="Georgia" w:eastAsia="Georgia"/>
          <w:sz w:val="22"/>
          <w:szCs w:val="22"/>
          <w:b w:val="0"/>
          <w:bCs w:val="0"/>
          <w:color w:val="000000"/>
        </w:rPr>
        <w:t xml:space="preserve"> [C] to bacterial growth on eggshells, yolks and albumen, with p-values of 0.030 and 0.014, respectively. The findings </w:t>
      </w:r>
      <w:r>
        <w:rPr>
          <w:rFonts w:ascii="Georgia" w:hAnsi="Georgia" w:cs="Georgia" w:eastAsia="Georgia"/>
          <w:sz w:val="22"/>
          <w:szCs w:val="22"/>
          <w:b w:val="0"/>
          <w:bCs w:val="0"/>
          <w:strike/>
          <w:color w:val="000000"/>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strike/>
          <w:color w:val="000000"/>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color w:val="00000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strike/>
          <w:color w:val="000000"/>
        </w:rPr>
        <w:t xml:space="preserve">needed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strike/>
          <w:color w:val="000000"/>
        </w:rPr>
        <w:t xml:space="preserve">recommend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hd w:val="clear" w:color="auto" w:fill="bfbfbf"/>
          <w:color w:val="000000"/>
        </w:rPr>
        <w:t xml:space="preserve">were</w:t>
      </w:r>
      <w:r>
        <w:rPr>
          <w:rFonts w:ascii="Georgia" w:hAnsi="Georgia" w:cs="Georgia" w:eastAsia="Georgia"/>
          <w:sz w:val="22"/>
          <w:szCs w:val="22"/>
          <w:b w:val="0"/>
          <w:bCs w:val="0"/>
          <w:color w:val="000000"/>
        </w:rPr>
        <w:t xml:space="preserve"> sensitive [G]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strike/>
          <w:color w:val="000000"/>
        </w:rPr>
        <w:t xml:space="preserve">possibility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color w:val="00000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r>
        <w:rPr>
          <w:rFonts w:ascii="Georgia" w:hAnsi="Georgia" w:cs="Georgia" w:eastAsia="Georgia"/>
          <w:sz w:val="20"/>
          <w:szCs w:val="20"/>
          <w:b w:val="0"/>
          <w:bCs w:val="0"/>
          <w:color w:val="000000"/>
        </w:rPr>
        <w:t xml:space="preserve"/>
      </w:r>
      <w:r>
        <w:rPr>
          <w:rFonts w:ascii="Georgia" w:hAnsi="Georgia" w:cs="Georgia" w:eastAsia="Georgia"/>
          <w:sz w:val="22"/>
          <w:szCs w:val="22"/>
          <w:b w:val="0"/>
          <w:bCs w:val="0"/>
          <w:color w:val="000000"/>
        </w:rPr>
        <w:t xml:space="preserve"/>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strike/>
          <w:color w:val="000000"/>
        </w:rPr>
        <w:t xml:space="preserve">indicated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strike/>
          <w:color w:val="000000"/>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hd w:val="clear" w:color="auto" w:fill="bfbfbf"/>
          <w:color w:val="000000"/>
        </w:rPr>
        <w:t xml:space="preserve">has</w:t>
      </w:r>
      <w:r>
        <w:rPr>
          <w:rFonts w:ascii="Georgia" w:hAnsi="Georgia" w:cs="Georgia" w:eastAsia="Georgia"/>
          <w:sz w:val="22"/>
          <w:szCs w:val="22"/>
          <w:b w:val="0"/>
          <w:bCs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color w:val="000000"/>
        </w:rPr>
        <w:t xml:space="preserve">Zoonotic diseases are a significant public health concern, particularly those that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Crop Science (Acs1–Acs10)</w:t>
      </w:r>
      <w:r>
        <w:rPr>
          <w:rtl w:val="0"/>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statistical significance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observed, the mycorrhiza treatment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still offer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while the differences </w:t>
      </w:r>
      <w:r>
        <w:rPr>
          <w:rFonts w:ascii="Georgia" w:hAnsi="Georgia" w:cs="Georgia" w:eastAsia="Georgia"/>
          <w:sz w:val="22"/>
          <w:szCs w:val="22"/>
          <w:b w:val="0"/>
          <w:bCs w:val="0"/>
          <w:shd w:val="clear" w:color="auto" w:fill="00B0F0"/>
          <w:color w:val="000000"/>
        </w:rPr>
        <w:t xml:space="preserve">might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have been significant in the study, the researchers believe that mycorrhiza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benefits for plant growth. Further research </w:t>
      </w:r>
      <w:r>
        <w:rPr>
          <w:rFonts w:ascii="Georgia" w:hAnsi="Georgia" w:cs="Georgia" w:eastAsia="Georgia"/>
          <w:sz w:val="22"/>
          <w:szCs w:val="22"/>
          <w:b w:val="0"/>
          <w:bCs w:val="0"/>
          <w:strike/>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color w:val="00000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survive the water treatment application but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not establish roots and die after several days. However, it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Trichoderma and fermented azolla at proper application frequencies </w:t>
      </w:r>
      <w:r>
        <w:rPr>
          <w:rFonts w:ascii="Georgia" w:hAnsi="Georgia" w:cs="Georgia" w:eastAsia="Georgia"/>
          <w:sz w:val="22"/>
          <w:szCs w:val="22"/>
          <w:b w:val="0"/>
          <w:bCs w:val="0"/>
          <w:shd w:val="clear" w:color="auto" w:fill="00B0F0"/>
          <w:color w:val="000000"/>
        </w:rPr>
        <w:t xml:space="preserve">could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hd w:val="clear" w:color="auto" w:fill="bfbfbf"/>
          <w:color w:val="000000"/>
        </w:rPr>
        <w:t xml:space="preserve">influenced</w:t>
      </w:r>
      <w:r>
        <w:rPr>
          <w:rFonts w:ascii="Georgia" w:hAnsi="Georgia" w:cs="Georgia" w:eastAsia="Georgia"/>
          <w:sz w:val="22"/>
          <w:szCs w:val="22"/>
          <w:b w:val="0"/>
          <w:bCs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strike/>
          <w:color w:val="000000"/>
        </w:rPr>
        <w:t xml:space="preserve">recommends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highlight w:val="red"/>
          <w:color w:val="FFFFFF"/>
        </w:rPr>
        <w:t xml:space="preserve">suggest</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soaking sugarcane setts in Azospirillum spp. biofertilizer for 24 hours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color w:val="00000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2"/>
          <w:szCs w:val="24"/>
          <w:rtl w:val="0"/>
          <w:b/>
          <w:bCs/>
        </w:rPr>
        <w:t>Agriculture, Animal Science (Aas1–Aas10)</w:t>
      </w:r>
      <w:r>
        <w:rPr>
          <w:rtl w:val="0"/>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color w:val="00000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[G]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hd w:val="clear" w:color="auto" w:fill="bfbfbf"/>
          <w:color w:val="000000"/>
        </w:rPr>
        <w:t xml:space="preserve">had</w:t>
      </w:r>
      <w:r>
        <w:rPr>
          <w:rFonts w:ascii="Georgia" w:hAnsi="Georgia" w:cs="Georgia" w:eastAsia="Georgia"/>
          <w:sz w:val="22"/>
          <w:szCs w:val="22"/>
          <w:b w:val="0"/>
          <w:bCs w:val="0"/>
          <w:color w:val="000000"/>
        </w:rPr>
        <w:t xml:space="preserve"> [C] the biggest impact, resulting in the heaviest weight. Additionally, the total return result </w:t>
      </w:r>
      <w:r>
        <w:rPr>
          <w:rFonts w:ascii="Georgia" w:hAnsi="Georgia" w:cs="Georgia" w:eastAsia="Georgia"/>
          <w:sz w:val="22"/>
          <w:szCs w:val="22"/>
          <w:b w:val="0"/>
          <w:bCs w:val="0"/>
          <w:shd w:val="clear" w:color="auto" w:fill="bfbfbf"/>
          <w:color w:val="000000"/>
        </w:rPr>
        <w:t xml:space="preserve">showed</w:t>
      </w:r>
      <w:r>
        <w:rPr>
          <w:rFonts w:ascii="Georgia" w:hAnsi="Georgia" w:cs="Georgia" w:eastAsia="Georgia"/>
          <w:sz w:val="22"/>
          <w:szCs w:val="22"/>
          <w:b w:val="0"/>
          <w:bCs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highlight w:val="red"/>
          <w:color w:val="FFFFFF"/>
        </w:rPr>
        <w:t xml:space="preserve">implies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highlight w:val="red"/>
          <w:color w:val="FFFFFF"/>
        </w:rPr>
        <w:t xml:space="preserve">suggests</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strike/>
          <w:color w:val="000000"/>
        </w:rPr>
        <w:t xml:space="preserve">will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seen as a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It was found to have a significant effect on the growth and germination rate of pigeon pea in terms of days to germinate, plant height, a number of leaves, and length of leaves. Sulfuric </w:t>
      </w:r>
      <w:r>
        <w:rPr>
          <w:rFonts w:ascii="Georgia" w:hAnsi="Georgia" w:cs="Georgia" w:eastAsia="Georgia"/>
          <w:sz w:val="22"/>
          <w:szCs w:val="22"/>
          <w:b w:val="0"/>
          <w:bCs w:val="0"/>
          <w:shd w:val="clear" w:color="auto" w:fill="bfbfbf"/>
          <w:color w:val="000000"/>
        </w:rPr>
        <w:t xml:space="preserve">was</w:t>
      </w:r>
      <w:r>
        <w:rPr>
          <w:rFonts w:ascii="Georgia" w:hAnsi="Georgia" w:cs="Georgia" w:eastAsia="Georgia"/>
          <w:sz w:val="22"/>
          <w:szCs w:val="22"/>
          <w:b w:val="0"/>
          <w:bCs w:val="0"/>
          <w:color w:val="000000"/>
        </w:rPr>
        <w:t xml:space="preserve"> second [G]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color w:val="00000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cs="Georgia" w:eastAsia="Georgia"/>
          <w:sz w:val="22"/>
          <w:szCs w:val="22"/>
          <w:b w:val="0"/>
          <w:bCs w:val="0"/>
          <w:highlight w:val="red"/>
          <w:color w:val="FFFFFF"/>
        </w:rPr>
        <w:t xml:space="preserve">implying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improve final weight, while feeding 10% fermented Madre De Agua </w:t>
      </w:r>
      <w:r>
        <w:rPr>
          <w:rFonts w:ascii="Georgia" w:hAnsi="Georgia" w:cs="Georgia" w:eastAsia="Georgia"/>
          <w:sz w:val="22"/>
          <w:szCs w:val="22"/>
          <w:b w:val="0"/>
          <w:bCs w:val="0"/>
          <w:shd w:val="clear" w:color="auto" w:fill="00B0F0"/>
          <w:color w:val="000000"/>
        </w:rPr>
        <w:t xml:space="preserve">may</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strike/>
          <w:color w:val="000000"/>
        </w:rPr>
        <w:t xml:space="preserve">indicating</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superior feed efficiency and improved survivability to T2. Based on the results of the study,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(FP-Gen)</w:t>
      </w:r>
      <w:r>
        <w:rPr>
          <w:rFonts w:ascii="Georgia" w:hAnsi="Georgia" w:cs="Georgia" w:eastAsia="Georgia"/>
          <w:sz w:val="22"/>
          <w:szCs w:val="22"/>
          <w:b w:val="0"/>
          <w:bCs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color w:val="00000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color w:val="00000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cs="Georgia" w:eastAsia="Georgia"/>
          <w:sz w:val="22"/>
          <w:szCs w:val="22"/>
          <w:b w:val="0"/>
          <w:bCs w:val="0"/>
          <w:shd w:val="clear" w:color="auto" w:fill="00B0F0"/>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strike/>
          <w:color w:val="000000"/>
        </w:rPr>
        <w:t xml:space="preserve">recommended</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(FP-Rec)</w:t>
      </w:r>
      <w:r>
        <w:rPr>
          <w:rFonts w:ascii="Georgia" w:hAnsi="Georgia" w:cs="Georgia" w:eastAsia="Georgia"/>
          <w:sz w:val="22"/>
          <w:szCs w:val="22"/>
          <w:b w:val="0"/>
          <w:bCs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highlight w:val="red"/>
          <w:color w:val="FFFFFF"/>
        </w:rPr>
        <w:t xml:space="preserve">potential</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ED7D31"/>
        </w:rPr>
        <w:t xml:space="preserve">(EC)</w:t>
      </w:r>
      <w:r>
        <w:rPr>
          <w:rFonts w:ascii="Georgia" w:hAnsi="Georgia" w:cs="Georgia" w:eastAsia="Georgia"/>
          <w:sz w:val="22"/>
          <w:szCs w:val="22"/>
          <w:b w:val="0"/>
          <w:bCs w:val="0"/>
          <w:color w:val="000000"/>
        </w:rPr>
        <w:t xml:space="preserve"> as an alternative feed ration for rabbits without adverse effects, and considering that azolla </w:t>
      </w:r>
      <w:r>
        <w:rPr>
          <w:rFonts w:ascii="Georgia" w:hAnsi="Georgia" w:cs="Georgia" w:eastAsia="Georgia"/>
          <w:sz w:val="22"/>
          <w:szCs w:val="22"/>
          <w:b w:val="0"/>
          <w:bCs w:val="0"/>
          <w:strike/>
          <w:color w:val="000000"/>
        </w:rPr>
        <w:t xml:space="preserve">can</w:t>
      </w:r>
      <w:r>
        <w:rPr>
          <w:rFonts w:ascii="Georgia" w:hAnsi="Georgia" w:cs="Georgia" w:eastAsia="Georgia"/>
          <w:sz w:val="22"/>
          <w:szCs w:val="22"/>
          <w:b w:val="0"/>
          <w:bCs w:val="0"/>
          <w:color w:val="000000"/>
        </w:rPr>
        <w:t xml:space="preserve"> </w:t>
      </w:r>
      <w:r>
        <w:rPr>
          <w:rFonts w:ascii="Georgia" w:hAnsi="Georgia" w:cs="Georgia" w:eastAsia="Georgia"/>
          <w:sz w:val="22"/>
          <w:szCs w:val="22"/>
          <w:b w:val="0"/>
          <w:bCs w:val="0"/>
          <w:color w:val="808080"/>
        </w:rPr>
        <w:t xml:space="preserve">(FP-Cap)</w:t>
      </w:r>
      <w:r>
        <w:rPr>
          <w:rFonts w:ascii="Georgia" w:hAnsi="Georgia" w:cs="Georgia" w:eastAsia="Georgia"/>
          <w:sz w:val="22"/>
          <w:szCs w:val="22"/>
          <w:b w:val="0"/>
          <w:bCs w:val="0"/>
          <w:color w:val="000000"/>
        </w:rPr>
        <w:t xml:space="preserve"> help breeders to lessen the feed cost in production.</w:t>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