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epistemic weight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softening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keepNext w:val="1"/>
        <w:spacing w:before="60" w:after="40" w:line="220" w:lineRule="auto"/>
        <w:ind w:firstLine="720"/>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keepNext w:val="1"/>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keepNext w:val="1"/>
        <w:spacing w:before="20" w:after="20" w:line="220" w:lineRule="auto"/>
        <w:ind w:firstLine="720"/>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keepNext w:val="1"/>
        <w:spacing w:before="20" w:after="20" w:line="220" w:lineRule="auto"/>
        <w:ind w:firstLine="720"/>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keepNext w:val="1"/>
        <w:spacing w:before="20" w:after="20" w:line="220" w:lineRule="auto"/>
        <w:ind w:firstLine="720"/>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keepNext w:val="1"/>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keepNext w:val="1"/>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20" w:after="20" w:line="220"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pageBreakBefore/>
        <w:keepNext w:val="1"/>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keepNext w:val="1"/>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47">
      <w:pPr>
        <w:keepNext w:val="1"/>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keepNext w:val="1"/>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keepNext w:val="1"/>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rsidR="00000000" w:rsidDel="00000000" w:rsidP="00000000" w:rsidRDefault="00000000" w:rsidRPr="00000000" w14:paraId="0000026D">
      <w:pPr>
        <w:keepNext w:val="1"/>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