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Those expert norms are well documented in that literature.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Suratno &amp; Aydawati, 2025).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sz w:val="22"/>
          <w:szCs w:val="22"/>
          <w:b/>
          <w:bCs/>
        </w:rPr>
        <w:t xml:space="preserve">Kruskal-Wallis Test, </w:t>
      </w:r>
      <w:r>
        <w:rPr>
          <w:rFonts w:ascii="Georgia" w:hAnsi="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sz w:val="22"/>
          <w:szCs w:val="22"/>
          <w:b/>
          <w:bCs/>
        </w:rPr>
        <w:t xml:space="preserve">Mann-Whitney U Test, </w:t>
      </w:r>
      <w:r>
        <w:rPr>
          <w:rFonts w:ascii="Georgia" w:hAnsi="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sz w:val="22"/>
          <w:szCs w:val="22"/>
          <w:b/>
          <w:bCs/>
        </w:rPr>
        <w:t xml:space="preserve">e. Data Analysis. </w:t>
      </w:r>
      <w:r>
        <w:rPr>
          <w:rFonts w:ascii="Georgia" w:hAnsi="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sz w:val="22"/>
          <w:szCs w:val="22"/>
          <w:b/>
          <w:bCs/>
        </w:rPr>
        <w:t xml:space="preserve">Inclusion Criteria. </w:t>
      </w:r>
      <w:r>
        <w:rPr>
          <w:rFonts w:ascii="Georgia" w:hAnsi="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sz w:val="22"/>
          <w:szCs w:val="22"/>
          <w:b/>
          <w:bCs/>
        </w:rPr>
        <w:t xml:space="preserve">Exclusion Criteria. </w:t>
      </w:r>
      <w:r>
        <w:rPr>
          <w:rFonts w:ascii="Georgia" w:hAnsi="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sz w:val="22"/>
          <w:szCs w:val="22"/>
          <w:b/>
          <w:bCs/>
        </w:rPr>
        <w:t xml:space="preserve">Ethical Considerations. </w:t>
      </w:r>
      <w:r>
        <w:rPr>
          <w:rFonts w:ascii="Georgia" w:hAnsi="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color="auto" w:fill="BFBFBF"/>
        </w:rPr>
        <w:t xml:space="preserve">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2"/>
          <w:szCs w:val="22"/>
          <w:b w:val="0"/>
          <w:bCs w:val="0"/>
          <w:strike w:val="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