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 sites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Unhedged-site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main certainty-bearing verb of a claim where caution was warranted but absent. The full clause is recorded in the coding sheet. Layer 3 does not mark every claim without a hedge. It marks only sites where a hedge was appropriate: generalizations beyond the data [G], and causal or evaluative claims stronger than the design or results support [C]. Bare trial results and measured findings are not markable, even if a hedge could be inserted without changing the facts. Procedural statements are never markable. Example: “The treatment was the most compelling among all treatments” could be “The treatment appeared most effective on the measured outcomes,” whereas “Mean yield was higher in T3 (p &lt; .05)” stays unhedged and unmarked.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used under the warranted-caution rule. Bare findings (means, significance, presence/absence) are appropriate without hedges and are not marked.</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 routine results reporting does not require a hedge.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“T3 was the most compelling treatment” (markable [G]) vs “Yield was higher in T3 (p &lt; .05)” (not markable).</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highlight on unhedged sites marks the main certainty-bearing verb of a claim where caution was warranted but absent (generalization [G] or causal/evaluative overclaim [C]). Bare trial results are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[G]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the lesions / aberrations to the liver and kidney. [C]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offering insights that  [G]can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[C]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major issue of reusing the egg trays across vendors which has been strongly linked to bacterial growth on eggshells, yolks and albumen, with p-values of 0.030 and 0.014, respectively.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Pr>
          <w:rFonts w:ascii="Georgia" w:hAnsi="Georgia" w:cs="Georgia" w:eastAsia="Georgia"/>
          <w:sz w:val="22"/>
          <w:szCs w:val="22"/>
          <w:b w:val="0"/>
          <w:bCs w:val="0"/>
          <w:strike w:val="0"/>
        </w:rPr>
        <w:t xml:space="preserve"/>
      </w:r>
      <w:r>
        <w:rPr>
          <w:rFonts w:ascii="Georgia" w:hAnsi="Georgia" w:cs="Georgia" w:eastAsia="Georgia"/>
          <w:sz w:val="22"/>
          <w:szCs w:val="22"/>
          <w:b w:val="0"/>
          <w:bCs w:val="0"/>
          <w:strike w:val="0"/>
        </w:rPr>
        <w:t xml:space="preserve"/>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to all antibiotics except amoxicillin-clavulanic acid. [G]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antibacterial property. [G]</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the plant height, weight of fruits, number of marketable and non-marketable fruits, and computed yield. [G]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the most compelling treatment among all treatments in terms of producing the highest number of productive tillers and obtaining the heaviest yield per ton/ha. [G]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[G]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color w:val="000000"/>
          <w:shd w:val="clear" w:color="auto" w:fill="BFBFBF"/>
        </w:rPr>
        <w:t xml:space="preserve">had</w:t>
      </w:r>
      <w:r>
        <w:rPr>
          <w:rFonts w:ascii="Georgia" w:hAnsi="Georgia" w:cs="Georgia" w:eastAsia="Georgia"/>
          <w:sz w:val="22"/>
          <w:szCs w:val="22"/>
          <w:b w:val="0"/>
          <w:bCs w:val="0"/>
          <w:strike w:val="0"/>
          <w:color w:val="000000"/>
        </w:rPr>
        <w:t xml:space="preserve"> the biggest impact, resulting in the heaviest weight.</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the total return result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promising future for fermented okara extract at a level of 60 ml (166.00 PHP).</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 [G]</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