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rPr>
        <w:t>Takimoto (2015) adds a recognition layer. In a corpus comparison of academic essays by Japanese EFL learners and English L1 writers, the EFL group used more boosters than hedges and preferred straightforward, explicit expressions, whereas native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r>
        <w:t>Lingard, L. (2026). Rhetorical candour: When and how to say it straight in your academic manuscript. Perspectives on Medical Education, 15(1), 251–256. https://doi.org/10.5334/pme.2269</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